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jc w:val="left"/>
        <w:rPr>
          <w:rFonts w:hint="default" w:asciiTheme="minorHAnsi" w:hAnsiTheme="minorHAnsi" w:eastAsiaTheme="minorEastAsia" w:cstheme="minorBidi"/>
          <w:color w:val="auto"/>
          <w:kern w:val="2"/>
          <w:sz w:val="21"/>
          <w:szCs w:val="24"/>
          <w:lang w:val="en-US"/>
        </w:rPr>
      </w:pPr>
    </w:p>
    <w:p>
      <w:pPr>
        <w:rPr>
          <w:rFonts w:hint="default"/>
          <w:lang w:val="en-US"/>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ind w:firstLine="630" w:firstLineChars="0"/>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《便携式计算机政府采购需求标准（</w:t>
      </w:r>
      <w:r>
        <w:rPr>
          <w:rFonts w:hint="eastAsia" w:ascii="华文中宋" w:hAnsi="华文中宋" w:eastAsia="华文中宋" w:cs="Times New Roman"/>
          <w:spacing w:val="-2"/>
          <w:sz w:val="36"/>
          <w:szCs w:val="36"/>
          <w:lang w:val="en-US" w:eastAsia="zh-CN"/>
        </w:rPr>
        <w:t>征求意见稿</w:t>
      </w:r>
      <w:r>
        <w:rPr>
          <w:rFonts w:hint="eastAsia" w:ascii="华文中宋" w:hAnsi="华文中宋" w:eastAsia="华文中宋" w:cs="Times New Roman"/>
          <w:spacing w:val="-2"/>
          <w:sz w:val="36"/>
          <w:szCs w:val="36"/>
          <w:lang w:val="en" w:eastAsia="zh-CN"/>
        </w:rPr>
        <w:t>）》</w:t>
      </w:r>
    </w:p>
    <w:p>
      <w:pPr>
        <w:pStyle w:val="122"/>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2"/>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2"/>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便携式计算机</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fldChar w:fldCharType="begin"/>
          </w:r>
          <w:r>
            <w:rPr>
              <w:rFonts w:hint="eastAsia" w:ascii="仿宋_GB2312" w:hAnsi="仿宋_GB2312" w:eastAsia="仿宋_GB2312" w:cs="仿宋_GB2312"/>
              <w:bCs/>
              <w:sz w:val="32"/>
              <w:szCs w:val="32"/>
              <w:lang w:val="zh-CN"/>
            </w:rPr>
            <w:instrText xml:space="preserve"> HYPERLINK \l _Toc8361 </w:instrText>
          </w:r>
          <w:r>
            <w:rPr>
              <w:rFonts w:hint="eastAsia" w:ascii="仿宋_GB2312" w:hAnsi="仿宋_GB2312" w:eastAsia="仿宋_GB2312" w:cs="仿宋_GB2312"/>
              <w:bCs/>
              <w:sz w:val="32"/>
              <w:szCs w:val="32"/>
              <w:lang w:val="zh-CN"/>
            </w:rPr>
            <w:fldChar w:fldCharType="separate"/>
          </w:r>
          <w:r>
            <w:rPr>
              <w:rFonts w:hint="eastAsia" w:ascii="仿宋_GB2312" w:hAnsi="仿宋_GB2312" w:eastAsia="仿宋_GB2312" w:cs="仿宋_GB2312"/>
              <w:sz w:val="32"/>
              <w:szCs w:val="32"/>
            </w:rPr>
            <w:t>便携式计算机政府采购需求标准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zh-CN"/>
            </w:rPr>
            <w:fldChar w:fldCharType="end"/>
          </w:r>
        </w:p>
        <w:p>
          <w:pPr>
            <w:rPr>
              <w:rFonts w:hint="eastAsia" w:ascii="仿宋_GB2312" w:hAnsi="仿宋_GB2312" w:eastAsia="仿宋_GB2312" w:cs="仿宋_GB2312"/>
            </w:rPr>
          </w:pPr>
          <w:r>
            <w:rPr>
              <w:rFonts w:hint="eastAsia" w:ascii="仿宋_GB2312" w:hAnsi="仿宋_GB2312" w:eastAsia="仿宋_GB2312" w:cs="仿宋_GB2312"/>
              <w:bCs/>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9"/>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rPr>
        <w:t>便携式计算机政府采购需求标准使用说明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确定便携式</w:t>
      </w:r>
      <w:r>
        <w:rPr>
          <w:rFonts w:hint="eastAsia" w:ascii="仿宋_GB2312" w:hAnsi="仿宋_GB2312" w:eastAsia="仿宋_GB2312" w:cs="仿宋_GB2312"/>
          <w:sz w:val="32"/>
          <w:szCs w:val="32"/>
        </w:rPr>
        <w:t>计算机</w:t>
      </w:r>
      <w:bookmarkStart w:id="2" w:name="_GoBack"/>
      <w:bookmarkEnd w:id="2"/>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4.是否可以作为评分因素：用于区分相关指标是否可以作为评分因素。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9"/>
        <w:shd w:val="clear"/>
        <w:rPr>
          <w:rFonts w:ascii="仿宋_GB2312" w:hAnsi="仿宋_GB2312" w:eastAsia="仿宋_GB2312" w:cs="仿宋_GB2312"/>
          <w:color w:val="auto"/>
          <w:sz w:val="28"/>
          <w:szCs w:val="28"/>
        </w:rPr>
      </w:pPr>
      <w:bookmarkStart w:id="1" w:name="_Toc8361"/>
      <w:r>
        <w:rPr>
          <w:rFonts w:hint="eastAsia" w:ascii="黑体" w:hAnsi="黑体" w:eastAsia="黑体" w:cs="黑体"/>
          <w:color w:val="auto"/>
          <w:sz w:val="36"/>
          <w:szCs w:val="44"/>
        </w:rPr>
        <w:t>便携式计算机政府采购需求标准</w:t>
      </w:r>
      <w:bookmarkEnd w:id="1"/>
    </w:p>
    <w:tbl>
      <w:tblPr>
        <w:tblStyle w:val="10"/>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0"/>
        <w:gridCol w:w="472"/>
        <w:gridCol w:w="1150"/>
        <w:gridCol w:w="1250"/>
        <w:gridCol w:w="1430"/>
        <w:gridCol w:w="2712"/>
        <w:gridCol w:w="103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 w:hRule="atLeast"/>
          <w:tblHeader/>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序号</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分类</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一级指标</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二级指标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是否可以作为评分因素</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指标要求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指标使用说明</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kern w:val="0"/>
                <w:sz w:val="18"/>
                <w:szCs w:val="18"/>
                <w:lang w:bidi="ar"/>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CPU信息</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供应商给出CPU信息，包含CPU型号、物理核心数、主频、末级缓存容量、线程数、热设计功耗及内存的最高速率、通道数和位宽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*密码算法实现</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CPU芯片应符合GM/T 0008的相关规定，或芯片密码模块应符合GB/T 37092或GM/T 0028的相关规定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*内存配置容量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≥8GB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根据实际需要，确定内存配置容量，一般配置容量越大越好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3、开箱检测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DDR4或LPDDR4或LPDDR4X及以上内存类型</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根据实际需要，确定内存类型，一般技术规格越高，技术水平越先进</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*内存条配置数量</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（板载内存不涉及）</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插槽数量越多，未来可支持扩充内存条的数量越多</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*主板集成模块</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应集成资源扩展模块、计算处理模块、音频扩展模块等，主板的互联拓扑可通过处理器或交换电路实现；</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主板功能实现越多，产品功能越强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*主板支持的CPU和内存情况</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应给出主板支持的CPU型号和数量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主板内置PCIe插槽数量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供应商提供配置信息</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根据实际需要，对内置PCIe插槽进行选择</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如果产品提供PCIe插槽，数量越多扩展能力越强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特殊孔位及接口</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主板支持安装多功能导入装置板卡，或预留相应孔位及接口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用户可根据需要选择，支持多功能导入装置板卡的产品</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*单内存插槽最大可支持容量</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（板载内存不涉及）</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≥8GB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根据需要进行选择，一般可支持的扩展最大容量越大，产品升级扩展能力越强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*内存插槽满配时提供的最高内存总容量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≥16GB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根据需要进行选择，可支持的内存插槽满配时提供的最高内存总容量越大，产品升级扩展能力越强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*固态盘数量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≥1个</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根据需要进行选择，固态存储数量越多，产品升级扩展能力越强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*固态存储容量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≥240GB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根据需要进行选择，存储容量越大，可存储数据越多</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机械硬盘数量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供应商应给出机械硬盘数量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根据需要进行选择，机械硬盘数量越多，可挂载硬盘的接口数量越多</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机械硬盘总容量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供应商应给出机械硬盘总容量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根据需要进行选择，容量越大，可存储数据量越大</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机械硬盘转速</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≥7200rpm</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按照实际场景需求进行选择，机械硬盘转速越高性能越好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机械硬盘接口协议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供应商应给出机械硬盘接口协议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根据需要进行选择，支持接口版本和种类越多，可匹配的硬盘类型越多</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机械硬盘形态</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支持2.5英寸或3.5英寸</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固态存储接口协议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支持UFS、SATA、PCIe、NVMe等类型接口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根据需要进行选择，支持接口种类越多，可匹配的硬盘类型越多</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固态存储形态</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可采用插卡或板载等形态，插卡形态宜符合M.2或mSATA等标准尺寸和接口定义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*存储设备扩展盘位</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供应商应给出可扩展固态和机械盘设备接口及数量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按照实际场景需求进行选择，支持接口数量越多扩展能力越好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*存储设备其他参与要求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固态盘应符合SJ/T 11654相关规定</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机械硬盘应符合GB/T 12628的相关规定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应符合相关标准的规定</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供应商应给出显卡类型，如独立显卡、集成显卡</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用户根据需求场景选择，集显和独显不作为显卡性能区分依据</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独立显卡显存类型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供应商应给出显存类型，如DDR3、DDR4、GDDR5、LPDDR4等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相同显存类型，代次越高，性能越好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显卡显存位宽（仅涉及独立显卡）</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≥32位</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相同显示核心下，显存位宽越大越好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显卡显存容量（仅涉及独立显卡）</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≥512MB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相同显示核心下，显存容量越大越好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独立显卡接口协议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≥PCIe2.0X4</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或≥HT3.0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PCIe的版本号越高，PCIe Lane数量越多，显卡与处理器之间的带宽越大，显卡性能越好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*显示设备规格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*显示屏屏占比</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屏占比越高越好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*显示屏分辨率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≥1920x1080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显示屏的分辨率越高图像越清晰（注：显示器像素过高会导致显示字体偏小，建议日常办公显示屏分辨率不大于2048x1080）</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显示屏像素密度</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≥150像素/英寸</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PPI值越高，显示屏显示的图像越精细</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显示屏可视角度</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用户根据需求场景选择，通常情况下可视角度越大越好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*显示屏尺寸</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供应商应给出显示屏尺寸</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*显示屏屏幕比例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供应商应给出显示屏屏幕比例，具体由生产厂商提供详细参数，如16:9或3:2或21:9或16:10等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用户根据需求场景选择3:2屏幕比例更适合办公场景</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*显示器外观颜色 </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应给出显示器颜色，具体由生产厂商提供详细参数，如黑色/白色/银色等商务色系</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*显示屏防蓝光</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应支持防蓝光模式,蓝光加权辐射亮度比应不大于0.0012</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蓝光加权辐射亮度比越低，对于人眼黄斑和人体节律影响越少</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查看防蓝光认证证书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*显示屏低频闪</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应支持显示屏低频闪，不大于-35dB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数值越低，表明人眼越不容易察觉画面有闪烁</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*显示屏防炫目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显示器镜面反射率≤10%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数值越低，环境光越不容易干扰显示画面</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外设规格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*传声器数量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≥1个</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日常办公设备通常不带麦克风</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≥1个</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扬声器的数量越多，立体声输出效果越好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*键盘按键数目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采购人根据需求确定，如62键等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*摄像头像素</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≥100万</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像素越高越好，图像越清晰</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*摄像头分辨率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分辨率应不低于1280×720像素</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分辨率越高，图像越清晰</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*扬声器功率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≥1瓦/个</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扬声器的功率越大越好，功率越大，扬声器的输出越大，响度越高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*扬声器频率范围</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20Hz-20kHz，其中20Hz-200Hz：35dB及以上；200Hz-8kHz：55dB及以上，8kHz-20kHz：35dB及以上</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频率范围越大效果越好，考察频段内波动越小越好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*扬声器总谐波失真</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总谐波失真在100Hz-7kHz频率范围内宜不高于5%</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考察频段内失真越小越好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*扬声器最大声压级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最大声压级在粉红噪声播放场景下，工作距离处声压级宜不低于70dB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扬声器的最大声压级一般要大于70dB，一般是越大越好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*键盘键程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0.9mm  ~ 2.3 mm</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*键盘按键压力</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按键压力宜在0.3～0.8N之间</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*键盘颜色</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根据客户需求选择，具体指标由生产厂商提供详细参数</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*鼠标连接方式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有线或无线</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*鼠标连接线</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≥1.5米</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*鼠标DPI分辨率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800至1600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用户根据需求场景选择，覆盖范围越大越好，通用办公场景下在800~1600范围之内</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鼠标颜色</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供应商应给出鼠标颜色</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*鼠标其他要求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其它参数应符合GB/T 26245的相关规定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bidi="ar"/>
              </w:rPr>
              <w:t>符合GB/T 26245的相关规定</w:t>
            </w:r>
            <w:r>
              <w:rPr>
                <w:rFonts w:hint="eastAsia" w:ascii="微软雅黑" w:hAnsi="微软雅黑" w:eastAsia="微软雅黑" w:cs="微软雅黑"/>
                <w:color w:val="auto"/>
                <w:kern w:val="0"/>
                <w:sz w:val="18"/>
                <w:szCs w:val="18"/>
                <w:lang w:eastAsia="zh-CN" w:bidi="ar"/>
              </w:rPr>
              <w:t>更优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触控板尺寸</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尺寸不小于70mm×50mm</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一定范围内越大越好，触控板的尺寸越大，操作体验越好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触控板材质</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采用麦拉片或玻璃等材质</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玻璃材质手感体验好于塑料</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光驱</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应配备光驱设备，可为外置光驱</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应当支持内置光驱</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*网络设备规格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*有线网卡数量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≥1（可通过扩展坞支持）</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无线网卡及天线数量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若提供无线网卡，生产厂商应给出无线局域网卡及天线数量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单无线网卡天线数量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若提供无线网卡，生产厂商应给出无线局域网卡及天线数量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天线的数量越多，速率越高，指向性越好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*外部接口规格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*USB接口数量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USB接口数量应不少于3个，至少包含1个USB3.0及以上标准接口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USB接口的数量越多越好，USB3.0传输速度高于2.0</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*视频接口数量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支持的视频接口数量越多，视频扩展性越好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*输入充电接口数量 </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*音频接口数量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存储卡接口数量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支持存储卡接口如SDIO 3.0等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*电池额定容量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≥50Wh</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电池的容量越大，在相同的系统功耗下，整机的续航时间越长</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*电池充放电次数</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≥500次（常温下500次充放电后电池容量应不低于原始容量的80%）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在相同条件下，电池充放电次数越长，表明电池的使用寿命越长</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快速充电功能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支持快速充电功能，如UFCS、USB PD</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快充充电更快</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查看产品规格书，第三方机构测试报告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*电池安全要求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安全要求应符合GB 31241的规定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符合国标的电池安全有保证</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查看产品规格书，第三方机构测试报告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电池电芯材质</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供应商应给出电池电芯材料信息</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当前常用锂电芯电池</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应采用桌面式或插墙式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用户根据需求场景选择</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插墙式适配器存在体积小、方便携带等优点</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*电源适配器功率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若支持电源模块，交流供电的产品，应能在220V±22V、50Hz±1Hz条件下正常工作；直流供电的产品，应能在直流电压标称的（100±5）%的条件下正常工作。直流电压标称值应由生产厂商提供详细参数。对电源有特殊要求的单元应由生产厂商提供详细参数；功率应有一定冗余，满足处理器满载时的需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电源适配器功率越高，支持的系统功率越大；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与整机功率相匹配满足实际需求即可</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电源适配器电线组件</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电源适配器电线组件应符合GB/T 15934的要求，可拆线的插头和连接器可以不做要求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电源线组件对应的额定电压/额定电流值取插头，连接器，线材规格的最小值</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*电源模块功率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供应商应给出电源模块功率</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满足产品满载时的需求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插头</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 1002-2021 （新版即将实施）家用和类似用途单相插头插座形式、基本参数和尺寸</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bidi="ar"/>
              </w:rPr>
              <w:t>符合国标要求</w:t>
            </w:r>
            <w:r>
              <w:rPr>
                <w:rFonts w:hint="eastAsia" w:ascii="微软雅黑" w:hAnsi="微软雅黑" w:eastAsia="微软雅黑" w:cs="微软雅黑"/>
                <w:color w:val="auto"/>
                <w:kern w:val="0"/>
                <w:sz w:val="18"/>
                <w:szCs w:val="18"/>
                <w:lang w:eastAsia="zh-CN" w:bidi="ar"/>
              </w:rPr>
              <w:t>更优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*整机基础规格</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*整机外观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a) 产品表面不应有凹痕、划伤、裂缝、变形和污染等。表面涂层均匀，不应起泡、龟裂、脱落和磨损，金属零部件无锈蚀及其它机械损伤；</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 产品表面说明功能的文字、符号、标志，应清晰、端正、牢固；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c) 宜在产品显著位置提供运行状态指示功能，并由生产厂商提供详细参数。</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产品表面和文字符合要求的话方便使用和更加安全</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*整机结构</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240"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a) 产品应符合GB/T 4208的相关规定；</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 产品内部结构应符合通用部件的安装需要；</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c) 所有输入输出接口应符合相关国家或行业标准；</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d) 产品零部件应紧固无松动，可插拔部件应可靠连接，开关、按钮和其它控制部件应灵活可靠，布局应方便使用；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e) 所有I/O连接器及需插接线缆的部位应预留用户操作空间，方便插拔解锁与插拔线缆；</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f) 可插拔板卡插槽部位应预留安装、拆卸或更换板卡空间；</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g) 用户拆装可能接触到的金属剪口或金属尖角部位应做防划伤处理，以保证用户安全；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h) 整机内部走线应规整，固线结构和位置要合理可靠并做防割线处理，需便于理线和插拔操作，走线应不影响系统各主要部件组装和拆卸；</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i) 如需通过孔走线，过线孔应做防割线处理；</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j) 各插头位置和插拔方向应合理，应做到插拔无障碍设计，具备防呆设计，有效避免误操作；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k) 各主要部件拆装无障碍，使用常规工具拆装，无特殊拆装工具需求；</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l) 各主要部件拆装步骤要少，各自拆装需避免相互干扰；</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m) 对于整机或零部件外表面为高亮面的，应粘贴保护膜，保护膜需粘贴牢固，运输、组装等过程不易脱落，撕下无残留；</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n) 显示屏的开合机械寿命应能承受至少15000次的显示屏开合，显示屏机械转轴的扭力应保持初始状态下扭力的75%以上；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o) 其它要求应符合GB/T 9813.2的相关规定。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bidi="ar"/>
              </w:rPr>
              <w:t>整机结构符合要求</w:t>
            </w:r>
            <w:r>
              <w:rPr>
                <w:rFonts w:hint="eastAsia" w:ascii="微软雅黑" w:hAnsi="微软雅黑" w:eastAsia="微软雅黑" w:cs="微软雅黑"/>
                <w:color w:val="auto"/>
                <w:kern w:val="0"/>
                <w:sz w:val="18"/>
                <w:szCs w:val="18"/>
                <w:lang w:eastAsia="zh-CN" w:bidi="ar"/>
              </w:rPr>
              <w:t>更优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*整机噪音</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25摄氏度环温条件：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空闲小于等于38dBA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满载小于等于45dBA  </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整机的噪音指标，越低越好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查看第三方机构测试报告，整机噪音测试结果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*整机散热</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产品在环境温度25℃且运行在满载的状态下，可触及面温度范围内应不高于45℃，各表面温度应符合以下要求：</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a) 键帽温度不高于38℃；</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 键盘间隙温度不高于40℃；</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c) 掌托温度不高于38℃；</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d) 触控板温度不高于38℃；</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e) 底壳温度不高于45℃。</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产品表面温度越低越好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查看第三方机构测试报告，整机散热测试结果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*整机能效限定值</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产品能效限定值应达到GB 28380-2012标准中能效等级2级及以上</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能效值越低越好（1级好于2级，2级好于3级）</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查看能源效率检测报告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*整机重量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≤2.2kg</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与规格说明书一致，便携式计算机越轻越好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*整机厚度</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≤22mm</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便携式计算机厚度越小越好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*水平投影面积</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不涉及</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与规格说明书一致，相同屏幕尺寸下越小越好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机身材质</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塑料/金属等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与规格说明书一致</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*机身颜色</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根据客户需求选择，通常选用灰色/黑色等商务色系</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与规格说明书一致</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产品规格</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*机箱尺寸容量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不涉及</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整机尺寸与用户办公位置的布局有关，用户依照办公位置的布局选择合适的机箱尺寸</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*CPU物理核数</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核数：≥4</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核数越多，多任务并行执行能力越强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*CPU主频</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≥1.8GHz</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同架构CPU主频越高性能越好，对不同架构下CPU性能比较建议主要参考“整型浮点计算性能”指标</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 末级缓存容量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≥2MB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cache容量越大，缓存命中的概率越大cache命中率跟容量、指令流水等正向相关通常情况下cache容量越大性能越好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*CPU支持的内存最高速率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≥2666MT/s</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频率越高数据传输率越高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*内存读写速率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≥2666MT/s</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频率越高数据传输率越高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*显示分辨率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≥1920x1080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分辨率越高，表示显卡的能力越强，能够支持的显示器越高阶，用户图像显示的越清晰</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*显卡显示芯片核心频率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≥300MHz</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相同显示核心下，工作频率越高，性能越高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*显存等效频率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≥1000MT/s</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相同显示核心下，显存频率越高，性能越高，但是功耗也会越高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*显卡可同时支持多屏显示数量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产品应支持2块屏幕同时显示，分辨率应不低于1920×1080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同时支持的屏幕数量越多，每个屏幕的分辨率越高，表明该显卡的功能越强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*显示设备性能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*显示屏刷新率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≥60Hz</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通常情况下，刷新率越高，所显示的图象（画面）稳定性就越好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*显示屏位深</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≥8位</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每个像素使用的信息位数越多，可用的颜色就越多，颜色表现就更逼真</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*显示屏色域</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≥99% sRGB</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色域越广能显示的色彩范围更广，人眼看到的画面也会越丰富越真实</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*显示屏色准</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△E ≤ 4</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△E 越低，颜色失真越小，用户体验越好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*显示屏响应时间</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≤30ms</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响应时间越短越好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*显示屏亮度及亮度一致性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≥250尼特</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显示屏最高亮度越高越好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一致性越高，显示同样画面时均匀性越好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*显示屏亮度一致性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一致性越高，显示同样画面时均匀性越好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*显示屏对比度</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≥300：1</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对比度越大越好，对比度越大一般来说色彩更鲜明</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*显示屏其他参数</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其它参数应符合SJ/T 11292的相关规定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显示屏符合标准质量性能有保证</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*网络设备性能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*有线网卡速率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最高速率不低于1000Mbps，支持10Mbps、100Mbps、1000Mbps速率自适应</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速率越高，网络传输速度越快</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综合成本和接口能力，建议千兆选用电口，千兆以上选用光口</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*支持无线网络通信技术协议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根据无线网络环境选择支持WAPI或WiFi5.0及以上协议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理论协议速率越高越好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*无线网卡频宽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≥20MHz</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支持的最大频宽越大越好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*电源适配器电源效率</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在20%/50%/100%负载下效率均应不低于87%</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效率越高越好，效率越高电源损失越低</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性能要求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*待机性能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*满载待机性能（LTP）</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≥1.5小时</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便携式计算机的续航时间，越长越好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查看第三方机构测试报告，待机续航性能测试结果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*内存扩展接口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(板载内存不涉及)</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供应商应给出内存扩展接口数量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支持内存扩展可以扩充更多内存设备</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存储扩展接口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(板载存储不涉及)</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支持存储扩展接口，如UFS3.0、SATA3.0、SAS3.0、M.2等类型接口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支持存储扩展可以扩充存储设备</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*主板USB瞬间过流保护</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主板应具有瞬间过流保护功能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该功能为整机对USB外设损坏情况下的保护机制，支持该功能优于不支持该功能;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*主板防静电保护</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主板应具有防静电保护功能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支持的ESD放电标准（空气放电和接触放电）越高，表示产品支持的ESD防护能力越强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*I/O接口功能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产品应内置或通过扩展坞支持数据传输接口、视频接口、音频接口、网络接口、电源接口等各类标准接口。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产品应集成键盘、触控板输入部件，同时应具备接入键盘、鼠标、写字板等外设的能力，宜支持触摸屏、语音交互、手写笔等人机交互功能。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支持功能越多越好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*显卡外接显示接口</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应至少支持VGA、HDMI、DVI、DP、Type-C中1种显示接口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根据用户外接显示设备的接口类型和分辨率等要求进行选择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产品应支持显示屏，同时应支持外接显示器。显示屏和外接显示器应支持多屏同时显示，显示模式应支持复制模式和扩展模式。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显示数据和模式越多越好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外设功能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摄像头物理隐私保护开关</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配备物理隐私保护开关</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该功能为防止数据泄露的措施，支持该功能优于不支持该功能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传声器降噪</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提供降噪功能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支持该功能优于不支持该功能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音频处理功能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支持音频效果处理功能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音频处理有这个功能的话，能够帮助我们控制音乐或配乐，使其在不同场景中产生不同的声音效果</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键盘背光</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配备该功能可在黑暗环境下也能清楚的看到按键字母</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触控板多点触控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支持2点及以上触控功能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支持触控板多点触控，便于用户使用多种触控手势操作</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*光驱功能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光驱应支持只读、刻录等类型；读取速度CD不低于24×150KB/s；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读取速度DVD不低于8×1358KB/s；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 刻录速度CD不低于24×150KB/s；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 刻录速度DVD不低于6×1358KB/s；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应兼容光盘类型包含只读光盘、可读写光盘、可擦写光盘等。</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光驱读取及刻录速度越高越好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产品应支持信息存储功能，包括支持易失性存储功能和非易失性存储功能。为提升存储性能和降低存储功耗，非易失性存储宜支持固态存储设备，如SSD/UFS。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产品应支持外出接口可以与独立的存储设备进行数据交互。</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支持功能越多越好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*网络设备功能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*无线网卡频段</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应支持2.4GHz、5GHz双频</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支持双频好于支持单频</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*网络设备开关</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支持启动、关闭有线和无线网络设备功能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应具备相关功能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*数据传输</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支持数据传输能力，并提供数据流量和异常日志记录功能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应具备相关功能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*蓝牙协议</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支持蓝牙模块，蓝牙协议不低于5.0版本。产品可根据用户实际使用需求支持蓝牙模块物理拆卸功能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支持的蓝牙标准越高越好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查看蓝牙BQB认证报告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*网络设备功能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有线网卡接口类型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支持RJ45接口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用户根据需要选择，建议选用内置电口</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*无线网卡标准</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 15629.11（所有部分）</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无线网卡支持的标准越高越好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产品应支持网络连接、网络开启/关闭功能，应具备访问网络和数据交换功能。产品可根据用户实际使用需求支持网络物理开关功能。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提高可靠性，提供负载均衡与分布式处理能力</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*外部接口功能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*音频接口类型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应不少于1个，宜支持3.5mm孔径的3段式或4段式接口。若支持4段式接口，宜支持线序的自动识别及切换功能；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4段支持麦克风和左右声道</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3段需要两个接口来支持声道和麦克风的使用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笔记本支持4段式更好，可以同步支持左右声道和麦克风</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*视频接口类型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应至少支持VGA、HDMI、DVI、DP、Type-C中1种显示接口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视频接口根据用户实际选择即可；</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相同视频接口，支持的版本越高，支持的分辨率越高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*HDMI、DP、Type-C显示接口要求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若提供HDMI、DP、Type-C接口应同时支持视频和音频输出</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HDMI能支持音频和视频同步输出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*输入充电接口类型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DC in或Type-C接口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其他接口</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产品可根据用户实际使用需求具有相关功能专用接口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为了保证系统的完整性和健壮性</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存储卡接口类型</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若配备存储卡，生产厂商应给出存储卡接口类型</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与产品规格一致，用户根据需求场景选择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电池快充</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支持快速充电功能，如UFCS、USB PD</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相同电池容量下，支持快充可以减少充电时间，好于不支持</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*电源线适配能力</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应符合GB 15934-2008</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对于可拆线插头GB15934不做要求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电源线适配能力越强越好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操作系统及软件功能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*中文信息处理要求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 18030的相关规定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应符合标准要求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*操作系统备份及还原功能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应支持操作系统备份及还原功能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当操作系统分区损坏的情况下，支持操作系统还原到出厂状态</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支持备份恢复能力好于不支持备份恢复能力</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*固件备份还原能力</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应具备备份及还原功能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支持固件分区好于不支持固件分区</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*操作系统及驱动升级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支持通过网络、闪存盘对操作系统、驱动进行升级</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具备在线升级能力可以提升服务效率，好于不具备在线升级</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固件升级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支持通过网络、闪存盘等对固件进行升级</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具备本地升级能力是产品要求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*BIOS支持关闭通讯接口</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在固件BIOS状态下关闭以太网及USB接口功能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产品具备该功能有利于设备使用管理</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*固件查看信息</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应具备查看固件版本、内存信息、主板信息、处理器信息和系统时间信息等功能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可以方便用户使用，查看信息，可以查看的信息越多越好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*固件设置启动顺序</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应具备设置启动顺序功能，并按照设置的启动顺序启动</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可以改变启动顺序方便用户使用</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*固件设置口令</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应具备设置口令、修改口令、验证口令功能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bidi="ar"/>
              </w:rPr>
              <w:t>增强安全性，支持此功能</w:t>
            </w:r>
            <w:r>
              <w:rPr>
                <w:rFonts w:hint="eastAsia" w:ascii="微软雅黑" w:hAnsi="微软雅黑" w:eastAsia="微软雅黑" w:cs="微软雅黑"/>
                <w:color w:val="auto"/>
                <w:kern w:val="0"/>
                <w:sz w:val="18"/>
                <w:szCs w:val="18"/>
                <w:lang w:eastAsia="zh-CN" w:bidi="ar"/>
              </w:rPr>
              <w:t>更优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*固件设置网络引导</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应具备网络引导启动和关闭功能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支持此功能</w:t>
            </w:r>
            <w:r>
              <w:rPr>
                <w:rFonts w:hint="eastAsia" w:ascii="微软雅黑" w:hAnsi="微软雅黑" w:eastAsia="微软雅黑" w:cs="微软雅黑"/>
                <w:color w:val="auto"/>
                <w:kern w:val="0"/>
                <w:sz w:val="18"/>
                <w:szCs w:val="18"/>
                <w:lang w:eastAsia="zh-CN" w:bidi="ar"/>
              </w:rPr>
              <w:t>更优</w:t>
            </w:r>
            <w:r>
              <w:rPr>
                <w:rFonts w:hint="eastAsia" w:ascii="微软雅黑" w:hAnsi="微软雅黑" w:eastAsia="微软雅黑" w:cs="微软雅黑"/>
                <w:color w:val="auto"/>
                <w:kern w:val="0"/>
                <w:sz w:val="18"/>
                <w:szCs w:val="18"/>
                <w:lang w:bidi="ar"/>
              </w:rPr>
              <w:t>，可以方便用户使用</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2、使用厂商提供的合规性检测工具进行检测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生物识别功能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指纹识别</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如具备指纹识别功能应符合GB/T 37742的相关规定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指纹识别比当前的密码算法具有安全，便捷等特征，依照用户的实际场景选择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人脸识别</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如具备人脸识别功能应符合GB/T 37036.3的相关规定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人脸识别比当前的密码算法具有安全，便捷等特征，依照用户的实际场景选择</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硬件加速功能</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NPU/GPU等AI加速模块</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根据实际需求配置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支持此模块更好，可以支持更丰富的智慧化应用</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视频编解码加速模块</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根据实际需求配置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支持此模块更好，可以降低高清视频播放的功耗和占用更少的CPU资源</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影像处理加速模块</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根据实际需求配置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支持此模块更好，可以提高高清摄像数据处理速度和降低系统功耗</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eastAsia="zh-CN" w:bidi="ar"/>
              </w:rPr>
              <w:t>安全</w:t>
            </w:r>
            <w:r>
              <w:rPr>
                <w:rFonts w:hint="eastAsia" w:ascii="微软雅黑" w:hAnsi="微软雅黑" w:eastAsia="微软雅黑" w:cs="微软雅黑"/>
                <w:color w:val="auto"/>
                <w:kern w:val="0"/>
                <w:sz w:val="18"/>
                <w:szCs w:val="18"/>
                <w:lang w:bidi="ar"/>
              </w:rPr>
              <w:t>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*整机安全性要求</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USB端口管控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根据实际需求配置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支持USB端口管控可以提高整机安全性，降低通过USB端口数据泄密</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2、合规性检测工具检测结果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155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kern w:val="0"/>
                <w:sz w:val="18"/>
                <w:szCs w:val="18"/>
                <w:lang w:eastAsia="zh-CN" w:bidi="ar"/>
              </w:rPr>
            </w:pPr>
            <w:r>
              <w:rPr>
                <w:rFonts w:hint="eastAsia" w:ascii="微软雅黑" w:hAnsi="微软雅黑" w:eastAsia="微软雅黑" w:cs="微软雅黑"/>
                <w:color w:val="auto"/>
                <w:kern w:val="0"/>
                <w:sz w:val="18"/>
                <w:szCs w:val="18"/>
                <w:lang w:eastAsia="zh-CN" w:bidi="ar"/>
              </w:rPr>
              <w:t>安全要求</w:t>
            </w:r>
          </w:p>
        </w:tc>
        <w:tc>
          <w:tcPr>
            <w:tcW w:w="1150"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color w:val="auto"/>
                <w:kern w:val="0"/>
                <w:sz w:val="18"/>
                <w:szCs w:val="18"/>
                <w:lang w:bidi="ar"/>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微软雅黑"/>
                <w:color w:val="auto"/>
                <w:kern w:val="0"/>
                <w:sz w:val="18"/>
                <w:szCs w:val="18"/>
                <w:lang w:bidi="ar"/>
              </w:rPr>
            </w:pPr>
            <w:r>
              <w:rPr>
                <w:rFonts w:hint="eastAsia" w:ascii="微软雅黑" w:hAnsi="微软雅黑" w:eastAsia="微软雅黑" w:cs="宋体"/>
                <w:color w:val="auto"/>
                <w:kern w:val="0"/>
                <w:sz w:val="18"/>
                <w:szCs w:val="18"/>
              </w:rPr>
              <w:t>*关键部件安全要求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color w:val="auto"/>
                <w:kern w:val="0"/>
                <w:sz w:val="18"/>
                <w:szCs w:val="18"/>
                <w:lang w:bidi="ar"/>
              </w:rPr>
            </w:pPr>
            <w:r>
              <w:rPr>
                <w:rFonts w:hint="eastAsia" w:ascii="微软雅黑" w:hAnsi="微软雅黑" w:eastAsia="微软雅黑" w:cs="宋体"/>
                <w:color w:val="auto"/>
                <w:kern w:val="0"/>
                <w:sz w:val="18"/>
                <w:szCs w:val="18"/>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宋体"/>
                <w:color w:val="auto"/>
                <w:kern w:val="0"/>
                <w:sz w:val="18"/>
                <w:szCs w:val="18"/>
                <w:highlight w:val="none"/>
              </w:rPr>
              <w:t>CPU和操作系统等关键部件应当符合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rPr>
                <w:rFonts w:hint="eastAsia" w:ascii="微软雅黑" w:hAnsi="微软雅黑" w:eastAsia="微软雅黑" w:cs="微软雅黑"/>
                <w:color w:val="auto"/>
                <w:kern w:val="0"/>
                <w:sz w:val="18"/>
                <w:szCs w:val="18"/>
                <w:lang w:eastAsia="zh-CN" w:bidi="ar"/>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安全要求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安全物理锁</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根据实际需求配置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支持此功能</w:t>
            </w:r>
            <w:r>
              <w:rPr>
                <w:rFonts w:hint="eastAsia" w:ascii="微软雅黑" w:hAnsi="微软雅黑" w:eastAsia="微软雅黑" w:cs="微软雅黑"/>
                <w:color w:val="auto"/>
                <w:kern w:val="0"/>
                <w:sz w:val="18"/>
                <w:szCs w:val="18"/>
                <w:lang w:eastAsia="zh-CN" w:bidi="ar"/>
              </w:rPr>
              <w:t>更优</w:t>
            </w:r>
            <w:r>
              <w:rPr>
                <w:rFonts w:hint="eastAsia" w:ascii="微软雅黑" w:hAnsi="微软雅黑" w:eastAsia="微软雅黑" w:cs="微软雅黑"/>
                <w:color w:val="auto"/>
                <w:kern w:val="0"/>
                <w:sz w:val="18"/>
                <w:szCs w:val="18"/>
                <w:lang w:bidi="ar"/>
              </w:rPr>
              <w:t>，增加安全性</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157</w:t>
            </w:r>
          </w:p>
        </w:tc>
        <w:tc>
          <w:tcPr>
            <w:tcW w:w="472" w:type="dxa"/>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安全要求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*信息安全基本要求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a) 应符合GB/T 39276的5.2的规定；</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 生产厂商应建立漏洞跟踪表，保证产品版本涉及到的漏洞(如驱动程序等)可查看；</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c) 产品不得包含已知的恶意代码或漏洞，不存在未声明的指令、功能、接口</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支持安全环境，生物特征识别安全性更高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安全要求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信息安全增强要求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a) 符合如下要求：宜支持可信执行环境；</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 宜符合GB/T 29240的相关规定。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支持安全环境，生物特征识别安全性更高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安全要求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*固件安全启动</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应具备安全启动功能，固件启动过程中只有通过启动校验才能正常启动</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支持此功能</w:t>
            </w:r>
            <w:r>
              <w:rPr>
                <w:rFonts w:hint="eastAsia" w:ascii="微软雅黑" w:hAnsi="微软雅黑" w:eastAsia="微软雅黑" w:cs="微软雅黑"/>
                <w:color w:val="auto"/>
                <w:kern w:val="0"/>
                <w:sz w:val="18"/>
                <w:szCs w:val="18"/>
                <w:lang w:eastAsia="zh-CN" w:bidi="ar"/>
              </w:rPr>
              <w:t>更优</w:t>
            </w:r>
            <w:r>
              <w:rPr>
                <w:rFonts w:hint="eastAsia" w:ascii="微软雅黑" w:hAnsi="微软雅黑" w:eastAsia="微软雅黑" w:cs="微软雅黑"/>
                <w:color w:val="auto"/>
                <w:kern w:val="0"/>
                <w:sz w:val="18"/>
                <w:szCs w:val="18"/>
                <w:lang w:bidi="ar"/>
              </w:rPr>
              <w:t>，增加安全性</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查看第三方机构测试报告，安全要求测试结果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安全要求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*限用物质的限量要求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26572中规定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查看环保认证证书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*存储设备可靠性</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*固态存储寿命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TBW ≥ 80TB（条件：240GB硬盘容量）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TBW越大，固态存储的使用寿命越长</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*机械硬盘寿命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通电时间≥5万小时</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寿命越长越好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*显示设备可靠性</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*显示屏屏幕失效点</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9813.2的要求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验收时显示屏无失效点</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外设可靠性</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*键盘按键寿命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≥1000万次</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键盘按键寿命值越大越好，键盘按键寿命越大表明键盘的可靠性越好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*鼠标按键寿命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≥500万次</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鼠标按键寿命值越大越好，鼠标的可靠性越好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*鼠标键盘线材寿命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所用线材经±60°弯折不低于3000次，功能、外观完好</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寿命越高越好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*风扇寿命</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≥4万小时</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寿命越长越好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*整机可靠性要求</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*电源适应性要求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符合国标要求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*电磁兼容性要求的无线电骚扰</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应符合GB/T 9254.1的规定，由生产厂商明确选用A级或B级的无线电骚扰限值</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*电磁兼容性要求的谐波电流</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 17625.1中对D类的限值要求</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*电磁兼容性要求的抗扰度</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9254.2的规定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查看中国国家强制性产品认证证书 （3C）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*环境条件要求的气候环境适应性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*环境条件要求的振动适应性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*环境条件要求的冲击适应性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*环境条件要求的碰撞适应性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*环境条件要求的自由跌落适应性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*环境条件要求的运输包装件跌落适应性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9813.2中规定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与产品规格一致，满足法规要求</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*MTBF测试</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MTBF(m1)≥3万小时</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MTBF时间越长，产品的可靠性越好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查看MTBF认证报告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5"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可靠性要求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*功能可靠性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a) 能承受重复开关机、重复强制开关机的操作；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 具备熔断保护与恢复功能；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c) 能承受I/O访问压力，具备稳定性。</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bidi="ar"/>
              </w:rPr>
              <w:t>具备功能可靠性</w:t>
            </w:r>
            <w:r>
              <w:rPr>
                <w:rFonts w:hint="eastAsia" w:ascii="微软雅黑" w:hAnsi="微软雅黑" w:eastAsia="微软雅黑" w:cs="微软雅黑"/>
                <w:color w:val="auto"/>
                <w:kern w:val="0"/>
                <w:sz w:val="18"/>
                <w:szCs w:val="18"/>
                <w:lang w:eastAsia="zh-CN" w:bidi="ar"/>
              </w:rPr>
              <w:t>更优</w:t>
            </w:r>
          </w:p>
        </w:tc>
        <w:tc>
          <w:tcPr>
            <w:tcW w:w="1560" w:type="dxa"/>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兼容要求</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*常用软件兼容</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应支持流式软件、版式软件、浏览器、邮件客户端、解压软件、多媒体、图形图像处理等常用软件</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兼容的数据库越多越好</w:t>
            </w:r>
          </w:p>
        </w:tc>
        <w:tc>
          <w:tcPr>
            <w:tcW w:w="1560" w:type="dxa"/>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*数据库兼容</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兼容3个及以上厂商的数据库产品</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兼容的数据库越多越好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*中间件兼容</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兼容3个及以上厂商中间件产品</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兼容的中间件越多越好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*平台软件兼容</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兼容3个及以上厂商云计算及大数据平台</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兼容的平台软件越多越好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查看第三方机构测试报告，兼容性要求测试结果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包装及运输要求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*包装及运输要求</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*标志、包装、运输和贮存</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符合GB/T 9813.2</w:t>
            </w:r>
            <w:r>
              <w:rPr>
                <w:rFonts w:hint="eastAsia" w:ascii="微软雅黑" w:hAnsi="微软雅黑" w:eastAsia="微软雅黑" w:cs="宋体"/>
                <w:color w:val="auto"/>
                <w:kern w:val="0"/>
                <w:sz w:val="18"/>
                <w:szCs w:val="18"/>
                <w:lang w:eastAsia="zh-CN"/>
              </w:rPr>
              <w:t>和商品包装政府采购需求标准</w:t>
            </w:r>
            <w:r>
              <w:rPr>
                <w:rFonts w:hint="eastAsia" w:ascii="微软雅黑" w:hAnsi="微软雅黑" w:eastAsia="微软雅黑" w:cs="宋体"/>
                <w:color w:val="auto"/>
                <w:kern w:val="0"/>
                <w:sz w:val="18"/>
                <w:szCs w:val="18"/>
              </w:rPr>
              <w:t>的相关规定</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3、目测查看产品包装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*配置检查工具</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提供经过第三方认证的自检测试工具</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*服务响应</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a）提供产品3年维保及上门服务（满足同城4小时、异地12小时响应要求）；</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b）提供政企专线7*24在线服务；</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c）现场保障技术服务团队员，国内上门服务地级市覆盖率达100%</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服务内容越多越好，服务能力越高越好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*服务周期</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支持产品延保≥3年</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提供每年延保服务报价</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提供备件服务能力≥6年（自购买之日起）</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按照实际的需求进行选择，服务能力越高服务成本越高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*预装操作系统</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应预装操作系统</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*培训服务</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提供产品的培训视频</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提供的培训材料越详细，越丰富越好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*典型问题解决手册</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提供典型问题解决说明文档或视频</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提供的说明材料越详细，越丰富越好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检查典型问题解决说明文档或视频文档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191</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*厂家升级软件与扩容服务</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提供上门升级部件/软件的服务</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按厂商声明文件提供对应服务</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192</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*整机质量服务要求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免费服务周期（含换件和维修）应不小于3年</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保修期越长越好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193</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*合格证书要求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提供产品合格证</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194</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*开箱组装/使用指导要求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开箱组装/使用指导</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195</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*驱动下载服务要求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提供驱动光盘或下载方式</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196</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*兼容适配软件下载服务要求</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提供兼容适配软件下载渠道（光盘、网站）</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查看厂商服务自声明文件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197</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跨架构平台应用兼容</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提供跨架构平台应用兼容工具，兼容一种或者一种以上不同架构平台的应用运行</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bidi="ar"/>
              </w:rPr>
              <w:t>随机提供相应工具</w:t>
            </w:r>
            <w:r>
              <w:rPr>
                <w:rFonts w:hint="eastAsia" w:ascii="微软雅黑" w:hAnsi="微软雅黑" w:eastAsia="微软雅黑" w:cs="微软雅黑"/>
                <w:color w:val="auto"/>
                <w:kern w:val="0"/>
                <w:sz w:val="18"/>
                <w:szCs w:val="18"/>
                <w:lang w:eastAsia="zh-CN" w:bidi="ar"/>
              </w:rPr>
              <w:t>更优</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198</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供应保障要求</w:t>
            </w:r>
          </w:p>
        </w:tc>
        <w:tc>
          <w:tcPr>
            <w:tcW w:w="11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*供应链合规性</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*产品部件保障</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是</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应保障产品主要部件应提供6年的备件服务能力(自购买之日起)，或提供可兼容原设备的升级换代产品</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服务能力越强越好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199</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供应保障要求</w:t>
            </w:r>
          </w:p>
        </w:tc>
        <w:tc>
          <w:tcPr>
            <w:tcW w:w="1150"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供应链质量*</w:t>
            </w: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*抗干扰性</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当产品部件出现供应风险时，应通知客户并提供风险应对方案确保产品的服务保障，必要时应停止相关受影响产品的销售。</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同类器件/软件件可替代供应商越多越好</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200</w:t>
            </w:r>
          </w:p>
        </w:tc>
        <w:tc>
          <w:tcPr>
            <w:tcW w:w="47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供应保障要求</w:t>
            </w:r>
          </w:p>
        </w:tc>
        <w:tc>
          <w:tcPr>
            <w:tcW w:w="115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left"/>
              <w:rPr>
                <w:rFonts w:ascii="微软雅黑" w:hAnsi="微软雅黑" w:eastAsia="微软雅黑" w:cs="微软雅黑"/>
                <w:color w:val="auto"/>
                <w:sz w:val="18"/>
                <w:szCs w:val="18"/>
              </w:rPr>
            </w:pPr>
          </w:p>
        </w:tc>
        <w:tc>
          <w:tcPr>
            <w:tcW w:w="125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*供应能力证明</w:t>
            </w:r>
          </w:p>
        </w:tc>
        <w:tc>
          <w:tcPr>
            <w:tcW w:w="14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否</w:t>
            </w:r>
          </w:p>
        </w:tc>
        <w:tc>
          <w:tcPr>
            <w:tcW w:w="271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生产厂商应提供供应链稳定承诺书，确保产品的部件在产品服务周期内稳定供货。</w:t>
            </w:r>
          </w:p>
        </w:tc>
        <w:tc>
          <w:tcPr>
            <w:tcW w:w="103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w:t>
            </w:r>
          </w:p>
        </w:tc>
        <w:tc>
          <w:tcPr>
            <w:tcW w:w="1560"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1、查看第三方机构测试报告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2、查看厂商产品自声明文件</w:t>
            </w:r>
          </w:p>
        </w:tc>
      </w:tr>
    </w:tbl>
    <w:p>
      <w:pPr>
        <w:shd w:val="clear"/>
        <w:rPr>
          <w:color w:val="auto"/>
        </w:rPr>
      </w:pPr>
    </w:p>
    <w:p>
      <w:pPr>
        <w:widowControl/>
        <w:shd w:val="clear"/>
        <w:jc w:val="left"/>
        <w:rPr>
          <w:color w:val="auto"/>
        </w:rPr>
      </w:pPr>
      <w:r>
        <w:rPr>
          <w:color w:val="auto"/>
        </w:rPr>
        <w:br w:type="page"/>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A590531"/>
    <w:rsid w:val="11082369"/>
    <w:rsid w:val="1C70486E"/>
    <w:rsid w:val="1EFA3C38"/>
    <w:rsid w:val="2A2D58C2"/>
    <w:rsid w:val="2A4C224F"/>
    <w:rsid w:val="2DE3416E"/>
    <w:rsid w:val="2FAF1868"/>
    <w:rsid w:val="37FECA7B"/>
    <w:rsid w:val="3AC21656"/>
    <w:rsid w:val="3D5FDC7F"/>
    <w:rsid w:val="3ECF26A1"/>
    <w:rsid w:val="50610B72"/>
    <w:rsid w:val="522B1438"/>
    <w:rsid w:val="53E932F0"/>
    <w:rsid w:val="5B7FFDF7"/>
    <w:rsid w:val="5C5E5427"/>
    <w:rsid w:val="5DDB41FE"/>
    <w:rsid w:val="5FDD11A2"/>
    <w:rsid w:val="5FEBE103"/>
    <w:rsid w:val="625E13B5"/>
    <w:rsid w:val="63F5E7F0"/>
    <w:rsid w:val="6CBB14F8"/>
    <w:rsid w:val="6DC76061"/>
    <w:rsid w:val="6DDE25B5"/>
    <w:rsid w:val="6DFF3D8E"/>
    <w:rsid w:val="723636CA"/>
    <w:rsid w:val="7AFF3ED1"/>
    <w:rsid w:val="7EABF462"/>
    <w:rsid w:val="7F3735A7"/>
    <w:rsid w:val="7F9F471B"/>
    <w:rsid w:val="7FB513EE"/>
    <w:rsid w:val="7FBB0D48"/>
    <w:rsid w:val="7FFA5EDA"/>
    <w:rsid w:val="7FFA8F32"/>
    <w:rsid w:val="95FFC6D2"/>
    <w:rsid w:val="9EFD0CD8"/>
    <w:rsid w:val="ABDD620F"/>
    <w:rsid w:val="AEEBD23A"/>
    <w:rsid w:val="BCDF1F8E"/>
    <w:rsid w:val="CBFF145E"/>
    <w:rsid w:val="DBCF0A78"/>
    <w:rsid w:val="DFBDCA1D"/>
    <w:rsid w:val="DFDEF7CF"/>
    <w:rsid w:val="E6CFA36B"/>
    <w:rsid w:val="EACDDFCD"/>
    <w:rsid w:val="F3EDEE86"/>
    <w:rsid w:val="F7D9A472"/>
    <w:rsid w:val="F7DF8034"/>
    <w:rsid w:val="F7FAC1FD"/>
    <w:rsid w:val="FB7F50AD"/>
    <w:rsid w:val="FF77F1C6"/>
    <w:rsid w:val="FFA6A54F"/>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5">
    <w:name w:val="footer"/>
    <w:basedOn w:val="1"/>
    <w:link w:val="108"/>
    <w:qFormat/>
    <w:uiPriority w:val="99"/>
    <w:pPr>
      <w:tabs>
        <w:tab w:val="center" w:pos="4153"/>
        <w:tab w:val="right" w:pos="8306"/>
      </w:tabs>
      <w:snapToGrid w:val="0"/>
      <w:jc w:val="left"/>
    </w:pPr>
    <w:rPr>
      <w:sz w:val="18"/>
      <w:szCs w:val="18"/>
    </w:rPr>
  </w:style>
  <w:style w:type="paragraph" w:styleId="6">
    <w:name w:val="header"/>
    <w:basedOn w:val="1"/>
    <w:link w:val="107"/>
    <w:qFormat/>
    <w:uiPriority w:val="0"/>
    <w:pP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jc w:val="left"/>
    </w:pPr>
    <w:rPr>
      <w:rFonts w:cs="Times New Roman"/>
      <w:kern w:val="0"/>
      <w:sz w:val="22"/>
      <w:szCs w:val="22"/>
    </w:rPr>
  </w:style>
  <w:style w:type="paragraph" w:styleId="8">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9">
    <w:name w:val="Title"/>
    <w:basedOn w:val="1"/>
    <w:next w:val="1"/>
    <w:link w:val="120"/>
    <w:qFormat/>
    <w:uiPriority w:val="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5">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6">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7">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8">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9">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0">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1">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2">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3">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4">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6">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7">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8">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9">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30">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4">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6">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40">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4">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5">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8">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9">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4">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5">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9">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60">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3">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7">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8">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70">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80">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1">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2">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5">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6">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7">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9">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90">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2">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2">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5">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6">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7">
    <w:name w:val="页眉 字符"/>
    <w:basedOn w:val="11"/>
    <w:link w:val="6"/>
    <w:qFormat/>
    <w:uiPriority w:val="0"/>
    <w:rPr>
      <w:rFonts w:asciiTheme="minorHAnsi" w:hAnsiTheme="minorHAnsi" w:eastAsiaTheme="minorEastAsia" w:cstheme="minorBidi"/>
      <w:kern w:val="2"/>
      <w:sz w:val="18"/>
      <w:szCs w:val="18"/>
    </w:rPr>
  </w:style>
  <w:style w:type="character" w:customStyle="1" w:styleId="108">
    <w:name w:val="页脚 字符"/>
    <w:basedOn w:val="11"/>
    <w:link w:val="5"/>
    <w:qFormat/>
    <w:uiPriority w:val="99"/>
    <w:rPr>
      <w:rFonts w:asciiTheme="minorHAnsi" w:hAnsiTheme="minorHAnsi" w:eastAsiaTheme="minorEastAsia" w:cstheme="minorBidi"/>
      <w:kern w:val="2"/>
      <w:sz w:val="18"/>
      <w:szCs w:val="18"/>
    </w:rPr>
  </w:style>
  <w:style w:type="paragraph" w:customStyle="1" w:styleId="109">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1">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2">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3">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5">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6">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7">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8">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20">
    <w:name w:val="标题 字符"/>
    <w:basedOn w:val="11"/>
    <w:link w:val="9"/>
    <w:qFormat/>
    <w:uiPriority w:val="0"/>
    <w:rPr>
      <w:rFonts w:asciiTheme="majorHAnsi" w:hAnsiTheme="majorHAnsi" w:eastAsiaTheme="majorEastAsia" w:cstheme="majorBidi"/>
      <w:b/>
      <w:bCs/>
      <w:kern w:val="2"/>
      <w:sz w:val="32"/>
      <w:szCs w:val="32"/>
    </w:rPr>
  </w:style>
  <w:style w:type="character" w:customStyle="1" w:styleId="121">
    <w:name w:val="标题 1 字符"/>
    <w:basedOn w:val="11"/>
    <w:link w:val="2"/>
    <w:qFormat/>
    <w:uiPriority w:val="0"/>
    <w:rPr>
      <w:rFonts w:asciiTheme="minorHAnsi" w:hAnsiTheme="minorHAnsi" w:eastAsiaTheme="minorEastAsia" w:cstheme="minorBidi"/>
      <w:b/>
      <w:bCs/>
      <w:kern w:val="44"/>
      <w:sz w:val="44"/>
      <w:szCs w:val="44"/>
    </w:rPr>
  </w:style>
  <w:style w:type="paragraph" w:customStyle="1" w:styleId="1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3">
    <w:name w:val="font31"/>
    <w:basedOn w:val="11"/>
    <w:qFormat/>
    <w:uiPriority w:val="0"/>
    <w:rPr>
      <w:rFonts w:hint="eastAsia" w:ascii="微软雅黑" w:hAnsi="微软雅黑" w:eastAsia="微软雅黑"/>
      <w:color w:val="000000"/>
      <w:sz w:val="24"/>
      <w:szCs w:val="24"/>
      <w:u w:val="none"/>
    </w:rPr>
  </w:style>
  <w:style w:type="character" w:customStyle="1" w:styleId="124">
    <w:name w:val="font11"/>
    <w:basedOn w:val="11"/>
    <w:qFormat/>
    <w:uiPriority w:val="0"/>
    <w:rPr>
      <w:rFonts w:hint="eastAsia" w:ascii="微软雅黑" w:hAnsi="微软雅黑" w:eastAsia="微软雅黑"/>
      <w:color w:val="FF0000"/>
      <w:sz w:val="24"/>
      <w:szCs w:val="24"/>
      <w:u w:val="none"/>
    </w:rPr>
  </w:style>
  <w:style w:type="paragraph" w:customStyle="1" w:styleId="125">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6">
    <w:name w:val="font21"/>
    <w:basedOn w:val="11"/>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2</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2023-03-15T07:51:00Z</dcterms:created>
  <dc:creator>CESI-LJN</dc:creator>
  <cp:lastModifiedBy>Admin</cp:lastModifiedBy>
  <cp:lastPrinted>2023-08-01T06:56:00Z</cp:lastPrinted>
  <dcterms:modified xsi:type="dcterms:W3CDTF">2023-08-03T14:40:27Z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