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420" w:firstLineChars="0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5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农业经营主体能力提升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资金管理办法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ascii="宋体" w:hAnsi="宋体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第一章</w:t>
      </w:r>
      <w:r>
        <w:rPr>
          <w:rFonts w:eastAsia="黑体" w:cs="Calibri"/>
          <w:kern w:val="0"/>
          <w:sz w:val="32"/>
          <w:szCs w:val="32"/>
        </w:rPr>
        <w:t> </w:t>
      </w:r>
      <w:r>
        <w:rPr>
          <w:rFonts w:ascii="黑体" w:hAnsi="黑体" w:eastAsia="黑体" w:cs="宋体"/>
          <w:kern w:val="0"/>
          <w:sz w:val="32"/>
          <w:szCs w:val="32"/>
          <w:lang w:val="e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>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第一条</w:t>
      </w:r>
      <w:r>
        <w:rPr>
          <w:rFonts w:ascii="仿宋_GB2312" w:hAnsi="宋体" w:eastAsia="仿宋_GB2312" w:cs="宋体"/>
          <w:kern w:val="0"/>
          <w:sz w:val="32"/>
          <w:szCs w:val="32"/>
          <w:lang w:val="e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为加强农业经营主体能力提升资金管理，提高资金使用的规范性、安全性和有效性，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推动新型农业经营主体高质量发展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，根据《中华人民共和国预算法》、《中华人民共和国预算法实施条例》等有关法律法规和制度规定，制定本办法。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第二条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本办法所称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是指中央财政安排用于新型农业经营主体生产经营能力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提升、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技术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推广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和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人才培育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等的共同财政事权转移支付资金。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资金的分配、使用、管理和监督适用本办法。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第三条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资金实施期限至202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年，到期前由财政部会同农业农村部按照有关规定开展评估，并根据法律法规、国务院有关规定及评估结果确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是否继续实施。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第四条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资金由财政部会同农业农村部按照“政策目标明确、分配办法科学、支出方向协调、坚持绩效导向”的原则分配、使用和管理。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财政部负责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资金中期财政规划和年度预算编制，会同农业农村部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制定资金分配方案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下达资金预算，组织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、指导和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实施全过程预算绩效管理，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指导地方加强资金监督管理等工作。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农业农村部负责相关规划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实施方案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编制和审核，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根据党中央、国务院有关决策部署，按照本办法规定的支出方向和支持内容，研究提出年度具体任务和资金测算分配建议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，对相关基础数据的真实性、准确性、规范性负责。会同财政部下达年度工作任务，指导、推动地方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做好任务实施工作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开展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任务完成情况监督，按规定开展预算绩效管理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加强绩效管理结果应用等工作。</w:t>
      </w:r>
    </w:p>
    <w:p>
      <w:pPr>
        <w:spacing w:beforeLines="0"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地方财政部门主要负责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资金的预算分解下达、资金审核拨付及使用监督等工作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组织开展本地区预算绩效管理工作。</w:t>
      </w:r>
    </w:p>
    <w:p>
      <w:pPr>
        <w:spacing w:beforeLines="0"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地方农业农村部门主要负责相关规划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实施方案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编制、项目审核筛选、项目组织实施和监督等，研究提出任务和资金分解安排建议方案，做好本地区预算执行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具体开展本地区绩效目标管理、绩效运行监控、绩效评价和结果应用等工作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地方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各级财政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农业农村部门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应当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对上报的可能影响资金分配结果的有关数据和信息的真实性、准确性负责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第二章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>资金使用范围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第五条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资金支出范围包括：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（一）新型农业经营主体培育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。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</w:rPr>
        <w:t>主要用于支持符合条件的农民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专业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</w:rPr>
        <w:t>合作社、家庭农场等新型农业经营主体改善生产设施条件，提升内部管理和生产经营能力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</w:rPr>
        <w:t>应用先进适用技术，发展生态低碳农业，加强品牌营销和指导服务等方面。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（二）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农业社会化服务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。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highlight w:val="none"/>
        </w:rPr>
        <w:t>主要用于支持符合条件的农村集体经济组织、农民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highlight w:val="none"/>
          <w:lang w:eastAsia="zh-CN"/>
        </w:rPr>
        <w:t>专业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highlight w:val="none"/>
        </w:rPr>
        <w:t>合作社、农业服务专业户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highlight w:val="none"/>
          <w:lang w:eastAsia="zh-CN"/>
        </w:rPr>
        <w:t>、农业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highlight w:val="none"/>
        </w:rPr>
        <w:t>服务类企业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highlight w:val="none"/>
          <w:lang w:eastAsia="zh-CN"/>
        </w:rPr>
        <w:t>、供销合作社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highlight w:val="none"/>
        </w:rPr>
        <w:t>等开展农业社会化服务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Times New Roman" w:hAnsi="Times New Roman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（三）高素质农民培育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。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</w:rPr>
        <w:t>主要用于支持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新型农业经营主体带头人培训、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种养加能手技能培训、农村创新创业者培养、乡村治理及社会事业发展带头人培育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</w:rPr>
        <w:t>，以及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乡村产业振兴带头人“头雁”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</w:rPr>
        <w:t>队伍培育等方面</w:t>
      </w:r>
      <w:r>
        <w:rPr>
          <w:rFonts w:ascii="Times New Roman" w:hAnsi="Times New Roman" w:eastAsia="仿宋_GB2312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（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</w:rPr>
        <w:t>四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）基层农技推广体系改革与建设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。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highlight w:val="none"/>
        </w:rPr>
        <w:t>主要用于支持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</w:rPr>
        <w:t>示范推广重大引领性技术和农业主推技术，实施农业重大技术协同推广</w:t>
      </w:r>
      <w:r>
        <w:rPr>
          <w:rFonts w:hint="default" w:eastAsia="仿宋_GB2312" w:cs="Times New Roman"/>
          <w:b w:val="0"/>
          <w:bCs w:val="0"/>
          <w:sz w:val="32"/>
          <w:szCs w:val="32"/>
          <w:highlight w:val="none"/>
        </w:rPr>
        <w:t>以及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</w:rPr>
        <w:t>农技推广特聘计划</w:t>
      </w:r>
      <w:r>
        <w:rPr>
          <w:rFonts w:hint="default" w:eastAsia="仿宋_GB2312" w:cs="Times New Roman"/>
          <w:b w:val="0"/>
          <w:bCs w:val="0"/>
          <w:sz w:val="32"/>
          <w:szCs w:val="32"/>
          <w:highlight w:val="none"/>
        </w:rPr>
        <w:t>等方面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（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</w:rPr>
        <w:t>五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）农业信贷担保业务补奖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。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</w:rPr>
        <w:t>主要用于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对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</w:rPr>
        <w:t>各省级农担公司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符合要求的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</w:rPr>
        <w:t>政策性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农业信贷担保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</w:rPr>
        <w:t>业务进行补奖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）农业经营主体能力提升其他重点任务支出。主要用于支持保障党中央、国务院确定的农业经营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主体能力提升其他重点工作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资金不得用于兴建楼堂馆所、弥补预算支出缺口等与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无关的支出。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第六条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资金的支持对象主要是承担相关项目任务的农（牧、渔）民、新型农业经营主体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、中央直属垦区、供销合作社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，以及其他相关单位。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第七条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资金可以采取直接补助、先建后补、以奖代补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、担保补助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、资产折股量化、贷款贴息等支持方式。具体由省级财政部门商农业农村部门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按程序研究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第三章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>资金分配和预算下达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农业经营主体能力提升资金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取因素法和定额测算分配。采取因素法分配的，具体因素选择根据党中央、国务院有关决策部署和农业经营主体能力提升实际需要确定，并适时适当进行调整。党中央、国务院有明确部署的特定事项或区域，实行项目管理、承担相关试点的任务，以及计划单列市、新疆生产建设兵团、北大荒农垦集团有限公司、广东省农垦总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，可根据需要采取定额测算分配方式。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default" w:ascii="黑体" w:hAnsi="黑体" w:eastAsia="黑体" w:cs="宋体"/>
          <w:kern w:val="0"/>
          <w:sz w:val="32"/>
          <w:szCs w:val="32"/>
        </w:rPr>
        <w:t>九</w:t>
      </w:r>
      <w:r>
        <w:rPr>
          <w:rFonts w:hint="eastAsia" w:ascii="黑体" w:hAnsi="黑体" w:eastAsia="黑体" w:cs="宋体"/>
          <w:kern w:val="0"/>
          <w:sz w:val="32"/>
          <w:szCs w:val="32"/>
        </w:rPr>
        <w:t>条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资金分配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可根据绩效评价结果、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上年度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地方财政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一般公共预算农林水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投入、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预算执行等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资金管理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使用情况、审计等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监督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发现问题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等因素进行适当调节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进一步突出激励导向。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因素法测算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分配因素包括：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（一）基础因素，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包括农作物播种面积、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粮食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产量、农林牧渔业产值等。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（二）任务因素，主要包括重大规划任务、新设试点任务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、重点工作安排，以及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党中央、国务院明确要求的涉及国计民生的事项等共同财政事权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事项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（三）脱贫地区因素，主要包括832个脱贫县（原国家扶贫开发工作重点县和连片特困地区县）粮食播种面积和所在省脱贫人口等。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基础、任务、脱贫地区因素根据相关支出方向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和支持内容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具体确定。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default" w:ascii="黑体" w:hAnsi="黑体" w:eastAsia="黑体" w:cs="宋体"/>
          <w:kern w:val="0"/>
          <w:sz w:val="32"/>
          <w:szCs w:val="32"/>
        </w:rPr>
        <w:t>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财政部应当在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每年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全国人民代表大会审查批准中央预算后30日内将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资金预算下达省级财政部门，同时抄送农业农村部、省级农业农村部门和财政部当地监管局，并同步下达区域绩效目标，作为开展绩效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监控、绩效评价的依据。财政部应在每年10月31日前将下一年度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资金预计数提前下达省级财政部门，同时抄送农业农村部、省级农业农村部门和财政部当地监管局。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资金分配结果在资金预算下达文件印发后20日内向社会公开，涉及国家秘密的除外。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</w:t>
      </w:r>
      <w:r>
        <w:rPr>
          <w:rFonts w:hint="default" w:ascii="黑体" w:hAnsi="黑体" w:eastAsia="黑体" w:cs="宋体"/>
          <w:kern w:val="0"/>
          <w:sz w:val="32"/>
          <w:szCs w:val="32"/>
        </w:rPr>
        <w:t>二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资金的支付，按照国库集中支付制度有关规定执行。属于政府采购管理范围的，按照政府采购法律制度规定执行。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第四章 资金使用和管理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</w:t>
      </w:r>
      <w:r>
        <w:rPr>
          <w:rFonts w:hint="default" w:ascii="黑体" w:hAnsi="黑体" w:eastAsia="黑体" w:cs="宋体"/>
          <w:kern w:val="0"/>
          <w:sz w:val="32"/>
          <w:szCs w:val="32"/>
        </w:rPr>
        <w:t>三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按照资金投入与任务相匹配进行使用管理，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并实施年度动态调整。任务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根据农业经营主体能力提升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资金支持的年度重点工作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研究确定，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与资金预算同步下达。下达预算时可明确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相关重点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任务对应资金额度。各地不得跨转移支付项目整合资金，不得超出任务范围安排资金，不得将中央财政资金直接切块用于省级及以下地方性政策任务。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</w:t>
      </w:r>
      <w:r>
        <w:rPr>
          <w:rFonts w:hint="default" w:ascii="黑体" w:hAnsi="黑体" w:eastAsia="黑体" w:cs="宋体"/>
          <w:kern w:val="0"/>
          <w:sz w:val="32"/>
          <w:szCs w:val="32"/>
        </w:rPr>
        <w:t>四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各级财政、农业农村部门应当加快预算执行，提高资金使用效益。结转结余的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资金，按照《中华人民共和国预算法》和财政部有关结转结余资金管理的相关规定处理。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</w:t>
      </w:r>
      <w:r>
        <w:rPr>
          <w:rFonts w:hint="default" w:ascii="黑体" w:hAnsi="黑体" w:eastAsia="黑体" w:cs="宋体"/>
          <w:kern w:val="0"/>
          <w:sz w:val="32"/>
          <w:szCs w:val="32"/>
        </w:rPr>
        <w:t>五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省级财政部门会同农业农村部门，根据本办法和财政部、农业农村部下达的工作任务与绩效目标，结合本地区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实际情况，制定本省年度资金使用方案，于每年6月30日前以正式文件报财政部、农业农村部备案，抄送财政部当地监管局。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</w:t>
      </w:r>
      <w:r>
        <w:rPr>
          <w:rFonts w:hint="default" w:ascii="黑体" w:hAnsi="黑体" w:eastAsia="黑体" w:cs="宋体"/>
          <w:kern w:val="0"/>
          <w:sz w:val="32"/>
          <w:szCs w:val="32"/>
        </w:rPr>
        <w:t>六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各级农业农村部门应当组织核实资金支持对象的资格、条件，督促检查工作任务完成情况，为财政部门按规定标准分配、审核拨付资金提供依据，对不符合法律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行政法规等有关规定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政策到期以及已从中央基建投资等其他渠道获得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性质类同的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中央财政资金支持的项目严格审核，不得申请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</w:t>
      </w:r>
      <w:r>
        <w:rPr>
          <w:rFonts w:hint="default" w:ascii="黑体" w:hAnsi="黑体" w:eastAsia="黑体" w:cs="宋体"/>
          <w:kern w:val="0"/>
          <w:sz w:val="32"/>
          <w:szCs w:val="32"/>
        </w:rPr>
        <w:t>七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巩固拓展脱贫攻坚成果同乡村振兴有效衔接过渡期内，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安排给832个脱贫县（原国家扶贫开发工作重点县和连片特困地区县）和国家乡村振兴重点帮扶县的资金，按照财政部等11部门《关于继续支持脱贫县统筹整合使用财政涉农资金工作的通知》（财农〔2021〕22号）有关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第五章 绩效管理和监督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</w:t>
      </w:r>
      <w:r>
        <w:rPr>
          <w:rFonts w:hint="default" w:ascii="黑体" w:hAnsi="黑体" w:eastAsia="黑体" w:cs="宋体"/>
          <w:kern w:val="0"/>
          <w:sz w:val="32"/>
          <w:szCs w:val="32"/>
        </w:rPr>
        <w:t>八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农业经营主体能力提升资金实行全过程预算绩效管理，各级财政、农业农村部门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照《农业相关转移支付资金绩效管理办法》（财农〔2019〕48号）等有关制度规定，设定资金绩效目标、开展绩效目标执行情况监控和绩效评价等工作，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绩效目标设定应与资金量、成本效益等相匹配。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" w:eastAsia="zh-CN"/>
        </w:rPr>
        <w:t>各级财政、农业农村部门要加强绩效目标管理，按要求科学合理设定、审核绩效目标。未按要求设定绩效目标或绩效目标设定不合理且未按要求调整的，不得进入转移支付预算分配和资金分配流程。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" w:eastAsia="zh-CN"/>
        </w:rPr>
        <w:t>预算执行中，各级财政、农业农村部门按要求开展绩效运行监控，及时发现并纠正存在的问题，确保绩效目标如期实现。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" w:eastAsia="zh-CN"/>
        </w:rPr>
        <w:t>预算执行结束后，省级财政、农业农村部门按要求开展绩效自评，并将绩效自评结果报送财政部、农业农村部，抄送财政部当地监管局。农业农村部、财政部按程序汇总审核形成整体绩效自评结果。财政部根据工作需要适时组织开展重点绩效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" w:eastAsia="zh-CN"/>
        </w:rPr>
        <w:t>各级财政、农业农村部门要加强绩效评价结果应用，按规定将绩效评价结果作为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" w:eastAsia="zh-CN"/>
        </w:rPr>
        <w:t>预算安排、资金分配、改进管理和完善政策的重要依据；按规定做好绩效信息公开。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</w:t>
      </w:r>
      <w:r>
        <w:rPr>
          <w:rFonts w:hint="default" w:ascii="黑体" w:hAnsi="黑体" w:eastAsia="黑体" w:cs="宋体"/>
          <w:kern w:val="0"/>
          <w:sz w:val="32"/>
          <w:szCs w:val="32"/>
        </w:rPr>
        <w:t>九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各级财政、农业农村部门应当加强对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资金分配、使用、管理情况的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全过程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监督，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综合运用大数据等技术手段提升监督效能，及时发现和纠正存在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问题。财政部各地监管局根据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资金的年度工作任务和区域绩效目标，加强资金预算执行监管，根据财政部计划安排开展监督和绩效评价，形成监管报告报送财政部，同时跟踪发现问题的整改情况并督促落实。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各级财政、农业农村部门应当按照防范和化解财政风险要求，强化流程控制、依法合规分配和使用资金，实行不相容岗位（职责）分离控制。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default" w:ascii="黑体" w:hAnsi="黑体" w:eastAsia="黑体" w:cs="宋体"/>
          <w:kern w:val="0"/>
          <w:sz w:val="32"/>
          <w:szCs w:val="32"/>
        </w:rPr>
        <w:t>二十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各级财政、农业农村部门及其工作人员在资金分配、审核等工作中，存在违反规定修改基础数据、分配资金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向不符合条件的单位、个人（或项目）分配资金或者擅自超出规定的范围、标准分配或使用资金，以及存在其他滥用职权、玩忽职守、徇私舞弊等违法违规行为的，依法追究相应责任；涉嫌犯罪的，依法移送有关机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default" w:ascii="黑体" w:hAnsi="黑体" w:eastAsia="黑体" w:cs="宋体"/>
          <w:kern w:val="0"/>
          <w:sz w:val="32"/>
          <w:szCs w:val="32"/>
        </w:rPr>
        <w:t>二十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一条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资金使用单位和个人虚报冒领、骗取套取、挤占挪用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农业经营主体能力提升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资金，以及存在其他违反本办法规定行为的，依法追究相应责任。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第六章  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第二十</w:t>
      </w:r>
      <w:r>
        <w:rPr>
          <w:rFonts w:hint="default" w:ascii="黑体" w:hAnsi="黑体" w:eastAsia="黑体" w:cs="宋体"/>
          <w:kern w:val="0"/>
          <w:sz w:val="32"/>
          <w:szCs w:val="32"/>
        </w:rPr>
        <w:t>二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省级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财政部门应当会同省级农业农村部门根据本办法制定实施细则，报送财政部和农业农村部备案，抄送财政部当地监管局。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第二十</w:t>
      </w:r>
      <w:r>
        <w:rPr>
          <w:rFonts w:hint="default" w:ascii="黑体" w:hAnsi="黑体" w:eastAsia="黑体" w:cs="宋体"/>
          <w:kern w:val="0"/>
          <w:sz w:val="32"/>
          <w:szCs w:val="32"/>
        </w:rPr>
        <w:t>三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本办法所称省是指省、自治区、直辖市、计划单列市、新疆生产建设兵团以及北大荒农垦集团有限公司、广东省农垦总局等。农业农村部门是指农业农村、农牧、畜牧兽医、渔业等行政主管部门。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第二十四条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本办法由财政部会同农业农村部负责解释。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第二十</w:t>
      </w:r>
      <w:r>
        <w:rPr>
          <w:rFonts w:hint="default" w:ascii="黑体" w:hAnsi="黑体" w:eastAsia="黑体" w:cs="宋体"/>
          <w:kern w:val="0"/>
          <w:sz w:val="32"/>
          <w:szCs w:val="32"/>
        </w:rPr>
        <w:t>五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本办法自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highlight w:val="none"/>
          <w:lang w:val="en" w:eastAsia="zh-CN"/>
        </w:rPr>
        <w:t>023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4月7日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起施行。《农业相关转移支付资金绩效管理办法》（财农〔2019〕48号）与本办法不一致的，以本办法为准。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A1"/>
    <w:rsid w:val="000014D9"/>
    <w:rsid w:val="0000487F"/>
    <w:rsid w:val="000111CB"/>
    <w:rsid w:val="00020FAC"/>
    <w:rsid w:val="000237A4"/>
    <w:rsid w:val="00091AB5"/>
    <w:rsid w:val="000A77DA"/>
    <w:rsid w:val="000B370B"/>
    <w:rsid w:val="000E378E"/>
    <w:rsid w:val="00102748"/>
    <w:rsid w:val="0011426B"/>
    <w:rsid w:val="00122C35"/>
    <w:rsid w:val="00140DE5"/>
    <w:rsid w:val="0017048B"/>
    <w:rsid w:val="00183F09"/>
    <w:rsid w:val="001A59E7"/>
    <w:rsid w:val="001A6E67"/>
    <w:rsid w:val="001A7468"/>
    <w:rsid w:val="001B512E"/>
    <w:rsid w:val="001C4CE4"/>
    <w:rsid w:val="001C6794"/>
    <w:rsid w:val="001D43CE"/>
    <w:rsid w:val="001E64D0"/>
    <w:rsid w:val="001F0C7D"/>
    <w:rsid w:val="00202265"/>
    <w:rsid w:val="002034AF"/>
    <w:rsid w:val="00225E60"/>
    <w:rsid w:val="00231ECC"/>
    <w:rsid w:val="00256BC2"/>
    <w:rsid w:val="00295479"/>
    <w:rsid w:val="002A3F1F"/>
    <w:rsid w:val="002D2136"/>
    <w:rsid w:val="002E08AE"/>
    <w:rsid w:val="002F348C"/>
    <w:rsid w:val="002F75D5"/>
    <w:rsid w:val="00317B23"/>
    <w:rsid w:val="003354CA"/>
    <w:rsid w:val="00336294"/>
    <w:rsid w:val="00337F92"/>
    <w:rsid w:val="0035609A"/>
    <w:rsid w:val="00357747"/>
    <w:rsid w:val="00372258"/>
    <w:rsid w:val="0039488E"/>
    <w:rsid w:val="003A2932"/>
    <w:rsid w:val="003A2FF3"/>
    <w:rsid w:val="003B12E2"/>
    <w:rsid w:val="003C3076"/>
    <w:rsid w:val="003D1842"/>
    <w:rsid w:val="003D2B06"/>
    <w:rsid w:val="003D3851"/>
    <w:rsid w:val="003F0586"/>
    <w:rsid w:val="004019DC"/>
    <w:rsid w:val="0040603D"/>
    <w:rsid w:val="00411AA3"/>
    <w:rsid w:val="00412B60"/>
    <w:rsid w:val="00422652"/>
    <w:rsid w:val="00466208"/>
    <w:rsid w:val="00470AEB"/>
    <w:rsid w:val="004A1D88"/>
    <w:rsid w:val="004B0E76"/>
    <w:rsid w:val="004B4460"/>
    <w:rsid w:val="004C6DCF"/>
    <w:rsid w:val="004D6607"/>
    <w:rsid w:val="004F298C"/>
    <w:rsid w:val="00505656"/>
    <w:rsid w:val="005543CB"/>
    <w:rsid w:val="005620F0"/>
    <w:rsid w:val="00562D0C"/>
    <w:rsid w:val="00566B15"/>
    <w:rsid w:val="00571A9E"/>
    <w:rsid w:val="005744F0"/>
    <w:rsid w:val="00590880"/>
    <w:rsid w:val="00592773"/>
    <w:rsid w:val="005B0847"/>
    <w:rsid w:val="005B745C"/>
    <w:rsid w:val="005C6DB0"/>
    <w:rsid w:val="005E0AFF"/>
    <w:rsid w:val="005E48DA"/>
    <w:rsid w:val="005F1206"/>
    <w:rsid w:val="005F5D21"/>
    <w:rsid w:val="00612BF5"/>
    <w:rsid w:val="00631A0C"/>
    <w:rsid w:val="00641D8A"/>
    <w:rsid w:val="006A0C6C"/>
    <w:rsid w:val="006A5D5E"/>
    <w:rsid w:val="006B78DB"/>
    <w:rsid w:val="006F00F0"/>
    <w:rsid w:val="006F12A8"/>
    <w:rsid w:val="00735EC6"/>
    <w:rsid w:val="00741793"/>
    <w:rsid w:val="0074658F"/>
    <w:rsid w:val="007626C1"/>
    <w:rsid w:val="007A75A1"/>
    <w:rsid w:val="007B3F05"/>
    <w:rsid w:val="007D1C8E"/>
    <w:rsid w:val="008010AF"/>
    <w:rsid w:val="00807FD2"/>
    <w:rsid w:val="008311CF"/>
    <w:rsid w:val="008319C6"/>
    <w:rsid w:val="00854B57"/>
    <w:rsid w:val="008B4501"/>
    <w:rsid w:val="008B564C"/>
    <w:rsid w:val="008C0DCE"/>
    <w:rsid w:val="008D7B91"/>
    <w:rsid w:val="008F2E6D"/>
    <w:rsid w:val="009401AA"/>
    <w:rsid w:val="00952B01"/>
    <w:rsid w:val="00980DAB"/>
    <w:rsid w:val="0098258E"/>
    <w:rsid w:val="00992580"/>
    <w:rsid w:val="009A05DB"/>
    <w:rsid w:val="00A45337"/>
    <w:rsid w:val="00A60E3E"/>
    <w:rsid w:val="00AB1CBA"/>
    <w:rsid w:val="00AC1C35"/>
    <w:rsid w:val="00AC45F8"/>
    <w:rsid w:val="00AD7731"/>
    <w:rsid w:val="00AE017C"/>
    <w:rsid w:val="00AE0CC9"/>
    <w:rsid w:val="00B0457E"/>
    <w:rsid w:val="00B063A0"/>
    <w:rsid w:val="00B1388F"/>
    <w:rsid w:val="00B15689"/>
    <w:rsid w:val="00B22F24"/>
    <w:rsid w:val="00B361DE"/>
    <w:rsid w:val="00BB06AD"/>
    <w:rsid w:val="00BE1147"/>
    <w:rsid w:val="00C067E1"/>
    <w:rsid w:val="00C250FC"/>
    <w:rsid w:val="00C3457B"/>
    <w:rsid w:val="00C77789"/>
    <w:rsid w:val="00C87FD4"/>
    <w:rsid w:val="00C9015A"/>
    <w:rsid w:val="00C90BA0"/>
    <w:rsid w:val="00CC3A6D"/>
    <w:rsid w:val="00CE3E81"/>
    <w:rsid w:val="00D06E4C"/>
    <w:rsid w:val="00D11B21"/>
    <w:rsid w:val="00D234F9"/>
    <w:rsid w:val="00D45B4E"/>
    <w:rsid w:val="00D45D46"/>
    <w:rsid w:val="00D6142C"/>
    <w:rsid w:val="00D80541"/>
    <w:rsid w:val="00D83B2E"/>
    <w:rsid w:val="00D96738"/>
    <w:rsid w:val="00DB375A"/>
    <w:rsid w:val="00DC34FD"/>
    <w:rsid w:val="00DD1DDB"/>
    <w:rsid w:val="00DE13B4"/>
    <w:rsid w:val="00E377FB"/>
    <w:rsid w:val="00E470CF"/>
    <w:rsid w:val="00E8055F"/>
    <w:rsid w:val="00E84096"/>
    <w:rsid w:val="00E9386A"/>
    <w:rsid w:val="00EB7D84"/>
    <w:rsid w:val="00F05D94"/>
    <w:rsid w:val="00F06D56"/>
    <w:rsid w:val="00F10CCD"/>
    <w:rsid w:val="00F12525"/>
    <w:rsid w:val="00F12DE2"/>
    <w:rsid w:val="00F5065E"/>
    <w:rsid w:val="00F55A46"/>
    <w:rsid w:val="00F62FAC"/>
    <w:rsid w:val="00F66321"/>
    <w:rsid w:val="00F80F5D"/>
    <w:rsid w:val="00FD11A1"/>
    <w:rsid w:val="00FE12C6"/>
    <w:rsid w:val="00FE74FD"/>
    <w:rsid w:val="097D3F9F"/>
    <w:rsid w:val="2BC6F3FA"/>
    <w:rsid w:val="2EEFDFDF"/>
    <w:rsid w:val="333778CA"/>
    <w:rsid w:val="37FF082E"/>
    <w:rsid w:val="39DFBC8A"/>
    <w:rsid w:val="3D2F1D2F"/>
    <w:rsid w:val="3DCF5C66"/>
    <w:rsid w:val="3F5D3FE9"/>
    <w:rsid w:val="3FB696EB"/>
    <w:rsid w:val="4F7FF130"/>
    <w:rsid w:val="4FDFE554"/>
    <w:rsid w:val="5BF24ABE"/>
    <w:rsid w:val="5CFCEF30"/>
    <w:rsid w:val="5EFBFB03"/>
    <w:rsid w:val="5EFF6CC4"/>
    <w:rsid w:val="5F39159B"/>
    <w:rsid w:val="5F3B52C3"/>
    <w:rsid w:val="5F7D945A"/>
    <w:rsid w:val="5FA76803"/>
    <w:rsid w:val="5FFF70F7"/>
    <w:rsid w:val="61DEBA11"/>
    <w:rsid w:val="67FDB20F"/>
    <w:rsid w:val="6ECF448A"/>
    <w:rsid w:val="6EF320E4"/>
    <w:rsid w:val="6FB41F71"/>
    <w:rsid w:val="6FDD00A2"/>
    <w:rsid w:val="7357BA0E"/>
    <w:rsid w:val="76E897A5"/>
    <w:rsid w:val="777F62F5"/>
    <w:rsid w:val="77BB368E"/>
    <w:rsid w:val="77EFB8AC"/>
    <w:rsid w:val="79BE665E"/>
    <w:rsid w:val="7B7BF912"/>
    <w:rsid w:val="7BBEB4DE"/>
    <w:rsid w:val="7CC2CBC1"/>
    <w:rsid w:val="7D6D3CA1"/>
    <w:rsid w:val="7DF8CA36"/>
    <w:rsid w:val="7DFF89A5"/>
    <w:rsid w:val="7E2F3AD0"/>
    <w:rsid w:val="7EF7E06E"/>
    <w:rsid w:val="7EFDA0FF"/>
    <w:rsid w:val="7F7B5C90"/>
    <w:rsid w:val="7FB7F986"/>
    <w:rsid w:val="7FEAE388"/>
    <w:rsid w:val="7FEEE0A7"/>
    <w:rsid w:val="7FF90DD8"/>
    <w:rsid w:val="7FFFCFCD"/>
    <w:rsid w:val="9BF15067"/>
    <w:rsid w:val="9D848F0D"/>
    <w:rsid w:val="9FAD6F43"/>
    <w:rsid w:val="A77F9BBE"/>
    <w:rsid w:val="AEE9BB47"/>
    <w:rsid w:val="B2E69F9D"/>
    <w:rsid w:val="B39D0A70"/>
    <w:rsid w:val="BC9A8C58"/>
    <w:rsid w:val="BFFF7A1E"/>
    <w:rsid w:val="CFFF432E"/>
    <w:rsid w:val="D35F3927"/>
    <w:rsid w:val="D7E79E50"/>
    <w:rsid w:val="DBEDB960"/>
    <w:rsid w:val="DDEE148F"/>
    <w:rsid w:val="DE8672AD"/>
    <w:rsid w:val="DE9D0E37"/>
    <w:rsid w:val="DECF2DCA"/>
    <w:rsid w:val="DEF3C675"/>
    <w:rsid w:val="DFFE1979"/>
    <w:rsid w:val="E6E79628"/>
    <w:rsid w:val="E9FDBF7B"/>
    <w:rsid w:val="EAFF5E50"/>
    <w:rsid w:val="EB6F9C39"/>
    <w:rsid w:val="EBAB545E"/>
    <w:rsid w:val="EBFAD575"/>
    <w:rsid w:val="EE798301"/>
    <w:rsid w:val="EFEE9A81"/>
    <w:rsid w:val="F04E863A"/>
    <w:rsid w:val="F43588A1"/>
    <w:rsid w:val="F6B466FE"/>
    <w:rsid w:val="F6CF44C2"/>
    <w:rsid w:val="F755F9FE"/>
    <w:rsid w:val="F8B69EE9"/>
    <w:rsid w:val="F8FF39F6"/>
    <w:rsid w:val="F9B7050E"/>
    <w:rsid w:val="FAF94D83"/>
    <w:rsid w:val="FBE58328"/>
    <w:rsid w:val="FDAEC173"/>
    <w:rsid w:val="FDBE89EF"/>
    <w:rsid w:val="FE3FA1E1"/>
    <w:rsid w:val="FEF2964B"/>
    <w:rsid w:val="FEFB4499"/>
    <w:rsid w:val="FF6F68AB"/>
    <w:rsid w:val="FFBD399E"/>
    <w:rsid w:val="FFCF37D9"/>
    <w:rsid w:val="FFE79F13"/>
    <w:rsid w:val="FFF697CB"/>
    <w:rsid w:val="FFFBCCB2"/>
    <w:rsid w:val="FFFF8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1596" w:hanging="969"/>
    </w:p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584</Words>
  <Characters>3330</Characters>
  <Lines>27</Lines>
  <Paragraphs>7</Paragraphs>
  <TotalTime>0</TotalTime>
  <ScaleCrop>false</ScaleCrop>
  <LinksUpToDate>false</LinksUpToDate>
  <CharactersWithSpaces>3907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2022-12-15T00:46:00Z</dcterms:created>
  <dc:creator>Yiqing Hu</dc:creator>
  <cp:lastModifiedBy>zhuxin</cp:lastModifiedBy>
  <cp:lastPrinted>2023-04-14T15:38:33Z</cp:lastPrinted>
  <dcterms:modified xsi:type="dcterms:W3CDTF">2023-04-14T16:18:49Z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