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spacing w:line="600" w:lineRule="exact"/>
        <w:jc w:val="left"/>
        <w:textAlignment w:val="auto"/>
        <w:rPr>
          <w:rFonts w:hint="default"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附件7</w:t>
      </w:r>
    </w:p>
    <w:p>
      <w:pPr>
        <w:keepNext w:val="0"/>
        <w:keepLines w:val="0"/>
        <w:pageBreakBefore w:val="0"/>
        <w:widowControl/>
        <w:kinsoku/>
        <w:wordWrap/>
        <w:overflowPunct/>
        <w:topLinePunct w:val="0"/>
        <w:autoSpaceDE/>
        <w:autoSpaceDN/>
        <w:bidi w:val="0"/>
        <w:adjustRightInd/>
        <w:snapToGrid/>
        <w:spacing w:beforeLines="0" w:line="600" w:lineRule="exact"/>
        <w:jc w:val="left"/>
        <w:textAlignment w:val="auto"/>
        <w:rPr>
          <w:rFonts w:ascii="黑体" w:hAnsi="黑体" w:eastAsia="黑体" w:cs="黑体"/>
          <w:kern w:val="0"/>
          <w:sz w:val="32"/>
          <w:szCs w:val="32"/>
        </w:rPr>
      </w:pPr>
    </w:p>
    <w:p>
      <w:pPr>
        <w:pStyle w:val="2"/>
      </w:pPr>
    </w:p>
    <w:p>
      <w:pPr>
        <w:keepNext w:val="0"/>
        <w:keepLines w:val="0"/>
        <w:pageBreakBefore w:val="0"/>
        <w:widowControl/>
        <w:kinsoku/>
        <w:wordWrap/>
        <w:overflowPunct/>
        <w:topLinePunct w:val="0"/>
        <w:autoSpaceDE/>
        <w:autoSpaceDN/>
        <w:bidi w:val="0"/>
        <w:adjustRightInd/>
        <w:snapToGrid/>
        <w:spacing w:beforeLines="0" w:line="600" w:lineRule="exact"/>
        <w:jc w:val="center"/>
        <w:textAlignment w:val="auto"/>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农业生态资源保护</w:t>
      </w:r>
      <w:r>
        <w:rPr>
          <w:rFonts w:hint="eastAsia" w:ascii="方正小标宋简体" w:hAnsi="方正小标宋简体" w:eastAsia="方正小标宋简体" w:cs="方正小标宋简体"/>
          <w:kern w:val="0"/>
          <w:sz w:val="36"/>
          <w:szCs w:val="36"/>
        </w:rPr>
        <w:t>资金管理办法</w:t>
      </w:r>
    </w:p>
    <w:p>
      <w:pPr>
        <w:keepNext w:val="0"/>
        <w:keepLines w:val="0"/>
        <w:pageBreakBefore w:val="0"/>
        <w:widowControl/>
        <w:kinsoku/>
        <w:wordWrap/>
        <w:overflowPunct/>
        <w:topLinePunct w:val="0"/>
        <w:autoSpaceDE/>
        <w:autoSpaceDN/>
        <w:bidi w:val="0"/>
        <w:adjustRightInd/>
        <w:snapToGrid/>
        <w:spacing w:beforeLines="0" w:line="600" w:lineRule="exact"/>
        <w:textAlignment w:val="auto"/>
        <w:rPr>
          <w:rFonts w:ascii="宋体" w:hAnsi="宋体" w:cs="宋体"/>
          <w:kern w:val="0"/>
          <w:sz w:val="30"/>
          <w:szCs w:val="30"/>
        </w:rPr>
      </w:pPr>
    </w:p>
    <w:p>
      <w:pPr>
        <w:keepNext w:val="0"/>
        <w:keepLines w:val="0"/>
        <w:pageBreakBefore w:val="0"/>
        <w:widowControl/>
        <w:kinsoku/>
        <w:wordWrap/>
        <w:overflowPunct/>
        <w:topLinePunct w:val="0"/>
        <w:autoSpaceDE/>
        <w:autoSpaceDN/>
        <w:bidi w:val="0"/>
        <w:adjustRightInd/>
        <w:snapToGrid/>
        <w:spacing w:beforeLines="0" w:line="60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第一章</w:t>
      </w:r>
      <w:r>
        <w:rPr>
          <w:rFonts w:eastAsia="黑体" w:cs="Calibri"/>
          <w:kern w:val="0"/>
          <w:sz w:val="32"/>
          <w:szCs w:val="32"/>
        </w:rPr>
        <w:t> </w:t>
      </w:r>
      <w:r>
        <w:rPr>
          <w:rFonts w:ascii="黑体" w:hAnsi="黑体" w:eastAsia="黑体" w:cs="宋体"/>
          <w:kern w:val="0"/>
          <w:sz w:val="32"/>
          <w:szCs w:val="32"/>
          <w:lang w:val="en"/>
        </w:rPr>
        <w:t xml:space="preserve"> </w:t>
      </w:r>
      <w:r>
        <w:rPr>
          <w:rFonts w:hint="eastAsia" w:ascii="黑体" w:hAnsi="黑体" w:eastAsia="黑体" w:cs="宋体"/>
          <w:kern w:val="0"/>
          <w:sz w:val="32"/>
          <w:szCs w:val="32"/>
        </w:rPr>
        <w:t>总则</w:t>
      </w:r>
    </w:p>
    <w:p>
      <w:pPr>
        <w:keepNext w:val="0"/>
        <w:keepLines w:val="0"/>
        <w:pageBreakBefore w:val="0"/>
        <w:kinsoku/>
        <w:wordWrap/>
        <w:overflowPunct/>
        <w:topLinePunct w:val="0"/>
        <w:autoSpaceDE/>
        <w:autoSpaceDN/>
        <w:bidi w:val="0"/>
        <w:adjustRightInd/>
        <w:snapToGrid/>
        <w:spacing w:beforeLines="0" w:line="600" w:lineRule="exact"/>
        <w:textAlignment w:val="auto"/>
        <w:rPr>
          <w:rFonts w:ascii="黑体" w:hAnsi="黑体" w:eastAsia="黑体"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第一条</w:t>
      </w:r>
      <w:r>
        <w:rPr>
          <w:rFonts w:ascii="仿宋_GB2312" w:hAnsi="宋体" w:eastAsia="仿宋_GB2312" w:cs="宋体"/>
          <w:kern w:val="0"/>
          <w:sz w:val="32"/>
          <w:szCs w:val="32"/>
          <w:lang w:val="en"/>
        </w:rPr>
        <w:t xml:space="preserve"> </w:t>
      </w:r>
      <w:r>
        <w:rPr>
          <w:rFonts w:hint="eastAsia" w:ascii="仿宋_GB2312" w:hAnsi="宋体" w:eastAsia="仿宋_GB2312" w:cs="宋体"/>
          <w:kern w:val="0"/>
          <w:sz w:val="32"/>
          <w:szCs w:val="32"/>
        </w:rPr>
        <w:t>为加强</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资金管理，提高资金使用的规范性、安全性和有效性，推动</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，根据《中华人民共和国预算法》、《中华人民共和国预算法实施条例》等有关法律法规和制度规定，制定本办法。</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第二条 </w:t>
      </w:r>
      <w:r>
        <w:rPr>
          <w:rFonts w:hint="eastAsia" w:ascii="仿宋_GB2312" w:hAnsi="宋体" w:eastAsia="仿宋_GB2312" w:cs="宋体"/>
          <w:kern w:val="0"/>
          <w:sz w:val="32"/>
          <w:szCs w:val="32"/>
        </w:rPr>
        <w:t>本办法所称</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是指中央财政安排用于</w:t>
      </w:r>
      <w:r>
        <w:rPr>
          <w:rFonts w:hint="eastAsia" w:ascii="仿宋_GB2312" w:hAnsi="宋体" w:eastAsia="仿宋_GB2312" w:cs="宋体"/>
          <w:color w:val="auto"/>
          <w:kern w:val="0"/>
          <w:sz w:val="32"/>
          <w:szCs w:val="32"/>
          <w:highlight w:val="none"/>
        </w:rPr>
        <w:t>农业资源养护</w:t>
      </w:r>
      <w:r>
        <w:rPr>
          <w:rFonts w:hint="eastAsia" w:ascii="仿宋_GB2312" w:hAnsi="宋体" w:eastAsia="仿宋_GB2312" w:cs="宋体"/>
          <w:color w:val="auto"/>
          <w:kern w:val="0"/>
          <w:sz w:val="32"/>
          <w:szCs w:val="32"/>
          <w:highlight w:val="none"/>
          <w:lang w:eastAsia="zh-CN"/>
        </w:rPr>
        <w:t>利用</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农业</w:t>
      </w:r>
      <w:r>
        <w:rPr>
          <w:rFonts w:hint="eastAsia" w:ascii="仿宋_GB2312" w:hAnsi="宋体" w:eastAsia="仿宋_GB2312" w:cs="宋体"/>
          <w:color w:val="auto"/>
          <w:kern w:val="0"/>
          <w:sz w:val="32"/>
          <w:szCs w:val="32"/>
          <w:highlight w:val="none"/>
        </w:rPr>
        <w:t>生态保护</w:t>
      </w:r>
      <w:r>
        <w:rPr>
          <w:rFonts w:hint="eastAsia" w:ascii="仿宋_GB2312" w:hAnsi="宋体" w:eastAsia="仿宋_GB2312" w:cs="宋体"/>
          <w:kern w:val="0"/>
          <w:sz w:val="32"/>
          <w:szCs w:val="32"/>
        </w:rPr>
        <w:t>等的共同财政事权转移支付资金。</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资金的分配、使用、管理和监督适用本办法。</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第三条</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资金实施期限至202</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年，到期前由财政部会同农业农村部按照有关规定开展评估，并根据法律法规、国务院有关规定及评估结果确</w:t>
      </w:r>
      <w:r>
        <w:rPr>
          <w:rFonts w:hint="eastAsia" w:ascii="仿宋_GB2312" w:hAnsi="宋体" w:eastAsia="仿宋_GB2312" w:cs="宋体"/>
          <w:kern w:val="0"/>
          <w:sz w:val="32"/>
          <w:szCs w:val="32"/>
          <w:lang w:eastAsia="zh-CN"/>
        </w:rPr>
        <w:t>定</w:t>
      </w:r>
      <w:r>
        <w:rPr>
          <w:rFonts w:hint="eastAsia" w:ascii="仿宋_GB2312" w:hAnsi="宋体" w:eastAsia="仿宋_GB2312" w:cs="宋体"/>
          <w:kern w:val="0"/>
          <w:sz w:val="32"/>
          <w:szCs w:val="32"/>
        </w:rPr>
        <w:t>是否继续实施。</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第四条 </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资金由财政部会同农业农村部按照“政策目标明确、分配办法科学、支出方向协调、坚持绩效导向”的原则分配、使用和管理。</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财政部负责</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资金中期财政规划和年度预算编制，会同农业农村部</w:t>
      </w:r>
      <w:r>
        <w:rPr>
          <w:rFonts w:hint="eastAsia" w:ascii="仿宋_GB2312" w:hAnsi="宋体" w:eastAsia="仿宋_GB2312" w:cs="宋体"/>
          <w:color w:val="auto"/>
          <w:kern w:val="0"/>
          <w:sz w:val="32"/>
          <w:szCs w:val="32"/>
          <w:highlight w:val="none"/>
        </w:rPr>
        <w:t>制定资金分配方案</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下达资金预算，组织</w:t>
      </w:r>
      <w:r>
        <w:rPr>
          <w:rFonts w:hint="eastAsia" w:ascii="仿宋_GB2312" w:hAnsi="宋体" w:eastAsia="仿宋_GB2312" w:cs="宋体"/>
          <w:kern w:val="0"/>
          <w:sz w:val="32"/>
          <w:szCs w:val="32"/>
          <w:lang w:eastAsia="zh-CN"/>
        </w:rPr>
        <w:t>、指导和</w:t>
      </w:r>
      <w:r>
        <w:rPr>
          <w:rFonts w:hint="eastAsia" w:ascii="仿宋_GB2312" w:hAnsi="宋体" w:eastAsia="仿宋_GB2312" w:cs="宋体"/>
          <w:kern w:val="0"/>
          <w:sz w:val="32"/>
          <w:szCs w:val="32"/>
        </w:rPr>
        <w:t>实施全过程预算绩效管理，</w:t>
      </w:r>
      <w:r>
        <w:rPr>
          <w:rFonts w:hint="eastAsia" w:ascii="仿宋_GB2312" w:hAnsi="宋体" w:eastAsia="仿宋_GB2312" w:cs="宋体"/>
          <w:kern w:val="0"/>
          <w:sz w:val="32"/>
          <w:szCs w:val="32"/>
          <w:highlight w:val="none"/>
        </w:rPr>
        <w:t>指导地方加强资金监督管理等工作。</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农业农村</w:t>
      </w:r>
      <w:r>
        <w:rPr>
          <w:rFonts w:hint="eastAsia" w:ascii="仿宋_GB2312" w:hAnsi="宋体" w:eastAsia="仿宋_GB2312" w:cs="宋体"/>
          <w:kern w:val="0"/>
          <w:sz w:val="32"/>
          <w:szCs w:val="32"/>
          <w:lang w:eastAsia="zh-CN"/>
        </w:rPr>
        <w:t>部</w:t>
      </w:r>
      <w:r>
        <w:rPr>
          <w:rFonts w:hint="eastAsia" w:ascii="仿宋_GB2312" w:hAnsi="宋体" w:eastAsia="仿宋_GB2312" w:cs="宋体"/>
          <w:kern w:val="0"/>
          <w:sz w:val="32"/>
          <w:szCs w:val="32"/>
        </w:rPr>
        <w:t>负责相关</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规划</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实施方案</w:t>
      </w:r>
      <w:r>
        <w:rPr>
          <w:rFonts w:hint="eastAsia" w:ascii="仿宋_GB2312" w:hAnsi="宋体" w:eastAsia="仿宋_GB2312" w:cs="宋体"/>
          <w:kern w:val="0"/>
          <w:sz w:val="32"/>
          <w:szCs w:val="32"/>
          <w:lang w:eastAsia="zh-CN"/>
        </w:rPr>
        <w:t>等</w:t>
      </w:r>
      <w:r>
        <w:rPr>
          <w:rFonts w:hint="eastAsia" w:ascii="仿宋_GB2312" w:hAnsi="宋体" w:eastAsia="仿宋_GB2312" w:cs="宋体"/>
          <w:kern w:val="0"/>
          <w:sz w:val="32"/>
          <w:szCs w:val="32"/>
        </w:rPr>
        <w:t>编制和审核，</w:t>
      </w:r>
      <w:r>
        <w:rPr>
          <w:rFonts w:hint="eastAsia" w:ascii="仿宋_GB2312" w:hAnsi="宋体" w:eastAsia="仿宋_GB2312" w:cs="宋体"/>
          <w:kern w:val="0"/>
          <w:sz w:val="32"/>
          <w:szCs w:val="32"/>
          <w:lang w:eastAsia="zh-CN"/>
        </w:rPr>
        <w:t>根据党中央、国务院有关决策部署，按照本办法规定的支出方向和支持内容，研究提出年度具体任务和资金测算分配建议</w:t>
      </w:r>
      <w:r>
        <w:rPr>
          <w:rFonts w:hint="eastAsia" w:ascii="仿宋_GB2312" w:hAnsi="宋体" w:eastAsia="仿宋_GB2312" w:cs="宋体"/>
          <w:kern w:val="0"/>
          <w:sz w:val="32"/>
          <w:szCs w:val="32"/>
        </w:rPr>
        <w:t>，对相关基础数据的真实性、准确性、规范性负责。会同财政部下达年度工作任务，指导、推动地方</w:t>
      </w:r>
      <w:r>
        <w:rPr>
          <w:rFonts w:hint="default" w:ascii="仿宋_GB2312" w:hAnsi="宋体" w:eastAsia="仿宋_GB2312" w:cs="宋体"/>
          <w:kern w:val="0"/>
          <w:sz w:val="32"/>
          <w:szCs w:val="32"/>
        </w:rPr>
        <w:t>做好任务实施工作</w:t>
      </w: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开展</w:t>
      </w:r>
      <w:r>
        <w:rPr>
          <w:rFonts w:hint="eastAsia" w:ascii="仿宋_GB2312" w:hAnsi="宋体" w:eastAsia="仿宋_GB2312" w:cs="宋体"/>
          <w:kern w:val="0"/>
          <w:sz w:val="32"/>
          <w:szCs w:val="32"/>
        </w:rPr>
        <w:t>任务完成情况监督，按规定开展预算绩效管理</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加强绩效管理结果应用等工作。</w:t>
      </w:r>
    </w:p>
    <w:p>
      <w:pPr>
        <w:spacing w:beforeLines="0"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地方财政部门主要负责</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资金的预算分解下达、资金审核拨付及使用监督等工作</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组织开展本地区预算绩效管理工作。</w:t>
      </w:r>
    </w:p>
    <w:p>
      <w:pPr>
        <w:spacing w:beforeLines="0" w:line="60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地方农业农村部门主要负责</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相关规划</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实施方案</w:t>
      </w:r>
      <w:r>
        <w:rPr>
          <w:rFonts w:hint="eastAsia" w:ascii="仿宋_GB2312" w:hAnsi="宋体" w:eastAsia="仿宋_GB2312" w:cs="宋体"/>
          <w:kern w:val="0"/>
          <w:sz w:val="32"/>
          <w:szCs w:val="32"/>
          <w:lang w:eastAsia="zh-CN"/>
        </w:rPr>
        <w:t>等</w:t>
      </w:r>
      <w:r>
        <w:rPr>
          <w:rFonts w:hint="eastAsia" w:ascii="仿宋_GB2312" w:hAnsi="宋体" w:eastAsia="仿宋_GB2312" w:cs="宋体"/>
          <w:kern w:val="0"/>
          <w:sz w:val="32"/>
          <w:szCs w:val="32"/>
        </w:rPr>
        <w:t>编制、项目审核筛选、项目组织实施和监督等，研究提出任务和资金分解安排建议方案，做好本地区预算执行</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具体开展本地区绩效目标管理、绩效运行监控、绩效评价和结果应用等工作</w:t>
      </w:r>
      <w:r>
        <w:rPr>
          <w:rFonts w:hint="eastAsia" w:ascii="仿宋_GB2312" w:hAnsi="宋体" w:eastAsia="仿宋_GB2312" w:cs="宋体"/>
          <w:kern w:val="0"/>
          <w:sz w:val="32"/>
          <w:szCs w:val="32"/>
          <w:lang w:eastAsia="zh-CN"/>
        </w:rPr>
        <w:t>。</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仿宋_GB2312" w:eastAsia="仿宋_GB2312" w:cs="仿宋_GB2312"/>
          <w:b w:val="0"/>
          <w:bCs w:val="0"/>
          <w:sz w:val="32"/>
          <w:szCs w:val="32"/>
          <w:highlight w:val="none"/>
          <w:shd w:val="clear" w:color="auto" w:fill="auto"/>
          <w:lang w:val="en-US" w:eastAsia="zh-CN"/>
        </w:rPr>
        <w:t>地方</w:t>
      </w:r>
      <w:r>
        <w:rPr>
          <w:rFonts w:hint="eastAsia" w:ascii="仿宋_GB2312" w:hAnsi="仿宋_GB2312" w:eastAsia="仿宋_GB2312" w:cs="仿宋_GB2312"/>
          <w:b w:val="0"/>
          <w:bCs w:val="0"/>
          <w:sz w:val="32"/>
          <w:szCs w:val="32"/>
          <w:highlight w:val="none"/>
          <w:shd w:val="clear" w:color="auto" w:fill="auto"/>
        </w:rPr>
        <w:t>各级财政</w:t>
      </w:r>
      <w:r>
        <w:rPr>
          <w:rFonts w:hint="eastAsia" w:ascii="仿宋_GB2312" w:hAnsi="仿宋_GB2312" w:eastAsia="仿宋_GB2312" w:cs="仿宋_GB2312"/>
          <w:b w:val="0"/>
          <w:bCs w:val="0"/>
          <w:sz w:val="32"/>
          <w:szCs w:val="32"/>
          <w:highlight w:val="none"/>
          <w:shd w:val="clear" w:color="auto" w:fill="auto"/>
          <w:lang w:eastAsia="zh-CN"/>
        </w:rPr>
        <w:t>、</w:t>
      </w:r>
      <w:r>
        <w:rPr>
          <w:rFonts w:hint="eastAsia" w:ascii="仿宋_GB2312" w:hAnsi="仿宋_GB2312" w:eastAsia="仿宋_GB2312" w:cs="仿宋_GB2312"/>
          <w:b w:val="0"/>
          <w:bCs w:val="0"/>
          <w:sz w:val="32"/>
          <w:szCs w:val="32"/>
          <w:highlight w:val="none"/>
          <w:shd w:val="clear" w:color="auto" w:fill="auto"/>
          <w:lang w:val="en-US" w:eastAsia="zh-CN"/>
        </w:rPr>
        <w:t>农业农村部门</w:t>
      </w:r>
      <w:r>
        <w:rPr>
          <w:rFonts w:hint="eastAsia" w:ascii="仿宋_GB2312" w:hAnsi="仿宋_GB2312" w:eastAsia="仿宋_GB2312" w:cs="仿宋_GB2312"/>
          <w:b w:val="0"/>
          <w:bCs w:val="0"/>
          <w:sz w:val="32"/>
          <w:szCs w:val="32"/>
          <w:highlight w:val="none"/>
          <w:shd w:val="clear" w:color="auto" w:fill="auto"/>
        </w:rPr>
        <w:t>应当</w:t>
      </w:r>
      <w:r>
        <w:rPr>
          <w:rFonts w:hint="eastAsia" w:ascii="仿宋_GB2312" w:hAnsi="仿宋_GB2312" w:eastAsia="仿宋_GB2312" w:cs="仿宋_GB2312"/>
          <w:b w:val="0"/>
          <w:bCs w:val="0"/>
          <w:sz w:val="32"/>
          <w:szCs w:val="32"/>
          <w:highlight w:val="none"/>
          <w:shd w:val="clear" w:color="auto" w:fill="auto"/>
          <w:lang w:eastAsia="zh-CN"/>
        </w:rPr>
        <w:t>对上报的可能影响资金分配结果的有关数据和信息的真实性、准确性负责</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 xml:space="preserve">第二章 </w:t>
      </w:r>
      <w:r>
        <w:rPr>
          <w:rFonts w:ascii="黑体" w:hAnsi="黑体" w:eastAsia="黑体" w:cs="宋体"/>
          <w:kern w:val="0"/>
          <w:sz w:val="32"/>
          <w:szCs w:val="32"/>
        </w:rPr>
        <w:t xml:space="preserve"> </w:t>
      </w:r>
      <w:r>
        <w:rPr>
          <w:rFonts w:hint="eastAsia" w:ascii="黑体" w:hAnsi="黑体" w:eastAsia="黑体" w:cs="宋体"/>
          <w:kern w:val="0"/>
          <w:sz w:val="32"/>
          <w:szCs w:val="32"/>
        </w:rPr>
        <w:t>资金使用范围</w:t>
      </w:r>
    </w:p>
    <w:p>
      <w:pPr>
        <w:keepNext w:val="0"/>
        <w:keepLines w:val="0"/>
        <w:pageBreakBefore w:val="0"/>
        <w:kinsoku/>
        <w:wordWrap/>
        <w:overflowPunct/>
        <w:topLinePunct w:val="0"/>
        <w:autoSpaceDE/>
        <w:autoSpaceDN/>
        <w:bidi w:val="0"/>
        <w:adjustRightInd/>
        <w:snapToGrid/>
        <w:spacing w:beforeLines="0" w:line="600" w:lineRule="exact"/>
        <w:textAlignment w:val="auto"/>
        <w:rPr>
          <w:rFonts w:ascii="黑体" w:hAnsi="黑体" w:eastAsia="黑体" w:cs="宋体"/>
          <w:kern w:val="0"/>
          <w:sz w:val="32"/>
          <w:szCs w:val="32"/>
        </w:rPr>
      </w:pPr>
      <w:r>
        <w:rPr>
          <w:rFonts w:hint="eastAsia" w:ascii="黑体" w:hAnsi="黑体" w:eastAsia="黑体" w:cs="宋体"/>
          <w:kern w:val="0"/>
          <w:sz w:val="32"/>
          <w:szCs w:val="32"/>
        </w:rPr>
        <w:t xml:space="preserve"> </w:t>
      </w:r>
      <w:r>
        <w:rPr>
          <w:rFonts w:ascii="黑体" w:hAnsi="黑体" w:eastAsia="黑体" w:cs="宋体"/>
          <w:kern w:val="0"/>
          <w:sz w:val="32"/>
          <w:szCs w:val="32"/>
        </w:rPr>
        <w:t xml:space="preserve">   </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 xml:space="preserve">第五条 </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资金支出范围包括：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（一）地膜科学使用回收支出。</w:t>
      </w:r>
      <w:r>
        <w:rPr>
          <w:rFonts w:hint="eastAsia" w:ascii="仿宋_GB2312" w:hAnsi="宋体" w:eastAsia="仿宋_GB2312" w:cs="宋体"/>
          <w:kern w:val="0"/>
          <w:sz w:val="32"/>
          <w:szCs w:val="32"/>
          <w:highlight w:val="none"/>
          <w:lang w:eastAsia="zh-CN"/>
        </w:rPr>
        <w:t>主要用于支持推广地膜高效科学覆盖技术，提高地膜科学使用回收水平，健全高效回收利用体系，构建废旧地膜污染治理长效机制等方面。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（二）农作物秸秆综合利用支出。</w:t>
      </w:r>
      <w:r>
        <w:rPr>
          <w:rFonts w:hint="eastAsia" w:ascii="仿宋_GB2312" w:hAnsi="宋体" w:eastAsia="仿宋_GB2312" w:cs="宋体"/>
          <w:kern w:val="0"/>
          <w:sz w:val="32"/>
          <w:szCs w:val="32"/>
          <w:highlight w:val="none"/>
          <w:lang w:eastAsia="zh-CN"/>
        </w:rPr>
        <w:t>主要用于支持秸秆综合利用，推广</w:t>
      </w:r>
      <w:r>
        <w:rPr>
          <w:rStyle w:val="10"/>
          <w:rFonts w:hint="eastAsia" w:eastAsia="仿宋_GB2312" w:cs="Times New Roman"/>
          <w:sz w:val="32"/>
          <w:szCs w:val="32"/>
          <w:highlight w:val="none"/>
        </w:rPr>
        <w:t>可持续产业发展模式和高效利用机制</w:t>
      </w:r>
      <w:r>
        <w:rPr>
          <w:rStyle w:val="10"/>
          <w:rFonts w:hint="eastAsia" w:eastAsia="仿宋_GB2312" w:cs="Times New Roman"/>
          <w:sz w:val="32"/>
          <w:szCs w:val="32"/>
          <w:highlight w:val="none"/>
          <w:lang w:eastAsia="zh-CN"/>
        </w:rPr>
        <w:t>，</w:t>
      </w:r>
      <w:r>
        <w:rPr>
          <w:rFonts w:hint="eastAsia" w:ascii="仿宋_GB2312" w:hAnsi="宋体" w:eastAsia="仿宋_GB2312" w:cs="宋体"/>
          <w:kern w:val="0"/>
          <w:sz w:val="32"/>
          <w:szCs w:val="32"/>
          <w:highlight w:val="none"/>
          <w:lang w:eastAsia="zh-CN"/>
        </w:rPr>
        <w:t>提高秸秆综合利用水平。</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（三）草原禁牧补助与草畜平衡奖励支出。</w:t>
      </w:r>
      <w:r>
        <w:rPr>
          <w:rFonts w:hint="eastAsia" w:ascii="仿宋_GB2312" w:hAnsi="宋体" w:eastAsia="仿宋_GB2312" w:cs="宋体"/>
          <w:kern w:val="0"/>
          <w:sz w:val="32"/>
          <w:szCs w:val="32"/>
          <w:lang w:eastAsia="zh-CN"/>
        </w:rPr>
        <w:t>主要用于对按照有关规定实施草原禁牧和草畜平衡的农牧民予以补助奖励。</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（四）渔业资源保护支出。</w:t>
      </w:r>
      <w:r>
        <w:rPr>
          <w:rFonts w:hint="eastAsia" w:ascii="仿宋_GB2312" w:hAnsi="宋体" w:eastAsia="仿宋_GB2312" w:cs="宋体"/>
          <w:kern w:val="0"/>
          <w:sz w:val="32"/>
          <w:szCs w:val="32"/>
          <w:lang w:eastAsia="zh-CN"/>
        </w:rPr>
        <w:t>主要用于支持渔业增殖放流等方面。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（五）</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其他重点任务支出。主要用于支持保障党中央、国务院确定的</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其他重点工作</w:t>
      </w:r>
      <w:r>
        <w:rPr>
          <w:rFonts w:hint="eastAsia" w:ascii="仿宋_GB2312" w:hAnsi="宋体" w:eastAsia="仿宋_GB2312" w:cs="宋体"/>
          <w:kern w:val="0"/>
          <w:sz w:val="32"/>
          <w:szCs w:val="32"/>
          <w:lang w:eastAsia="zh-CN"/>
        </w:rPr>
        <w:t>等</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资金不得用于兴建楼堂馆所、弥补预算支出缺口等与</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无关的支出。</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第六条</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资金的支持对象主要是承担相关项目任务的农（牧、渔）民、新型农业经营主体，以及其他相关单位。</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第七条</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资金可以采取直接补助、先建后补、以奖代补、资产折股量化、贷款贴息等支持方式。具体由省级财政部门商农业农村部门</w:t>
      </w:r>
      <w:r>
        <w:rPr>
          <w:rFonts w:hint="eastAsia" w:ascii="仿宋_GB2312" w:hAnsi="宋体" w:eastAsia="仿宋_GB2312" w:cs="宋体"/>
          <w:kern w:val="0"/>
          <w:sz w:val="32"/>
          <w:szCs w:val="32"/>
          <w:lang w:eastAsia="zh-CN"/>
        </w:rPr>
        <w:t>按程序研究</w:t>
      </w:r>
      <w:r>
        <w:rPr>
          <w:rFonts w:hint="eastAsia" w:ascii="仿宋_GB2312" w:hAnsi="宋体" w:eastAsia="仿宋_GB2312" w:cs="宋体"/>
          <w:kern w:val="0"/>
          <w:sz w:val="32"/>
          <w:szCs w:val="32"/>
        </w:rPr>
        <w:t>确定。</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 xml:space="preserve">第三章 </w:t>
      </w:r>
      <w:r>
        <w:rPr>
          <w:rFonts w:ascii="黑体" w:hAnsi="黑体" w:eastAsia="黑体" w:cs="宋体"/>
          <w:kern w:val="0"/>
          <w:sz w:val="32"/>
          <w:szCs w:val="32"/>
        </w:rPr>
        <w:t xml:space="preserve"> </w:t>
      </w:r>
      <w:r>
        <w:rPr>
          <w:rFonts w:hint="eastAsia" w:ascii="黑体" w:hAnsi="黑体" w:eastAsia="黑体" w:cs="宋体"/>
          <w:kern w:val="0"/>
          <w:sz w:val="32"/>
          <w:szCs w:val="32"/>
        </w:rPr>
        <w:t>资金分配和预算下达</w:t>
      </w:r>
    </w:p>
    <w:p>
      <w:pPr>
        <w:keepNext w:val="0"/>
        <w:keepLines w:val="0"/>
        <w:pageBreakBefore w:val="0"/>
        <w:kinsoku/>
        <w:wordWrap/>
        <w:overflowPunct/>
        <w:topLinePunct w:val="0"/>
        <w:autoSpaceDE/>
        <w:autoSpaceDN/>
        <w:bidi w:val="0"/>
        <w:adjustRightInd/>
        <w:snapToGrid/>
        <w:spacing w:beforeLines="0" w:line="600" w:lineRule="exact"/>
        <w:textAlignment w:val="auto"/>
        <w:rPr>
          <w:rFonts w:ascii="黑体" w:hAnsi="黑体" w:eastAsia="黑体" w:cs="宋体"/>
          <w:kern w:val="0"/>
          <w:sz w:val="32"/>
          <w:szCs w:val="32"/>
        </w:rPr>
      </w:pPr>
      <w:r>
        <w:rPr>
          <w:rFonts w:hint="eastAsia" w:ascii="黑体" w:hAnsi="黑体" w:eastAsia="黑体" w:cs="宋体"/>
          <w:kern w:val="0"/>
          <w:sz w:val="32"/>
          <w:szCs w:val="32"/>
        </w:rPr>
        <w:t xml:space="preserve"> </w:t>
      </w:r>
      <w:r>
        <w:rPr>
          <w:rFonts w:ascii="黑体" w:hAnsi="黑体" w:eastAsia="黑体" w:cs="宋体"/>
          <w:kern w:val="0"/>
          <w:sz w:val="32"/>
          <w:szCs w:val="32"/>
        </w:rPr>
        <w:t xml:space="preserve">   </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宋体" w:eastAsia="仿宋_GB2312" w:cs="宋体"/>
          <w:kern w:val="0"/>
          <w:sz w:val="32"/>
          <w:szCs w:val="32"/>
        </w:rPr>
      </w:pPr>
      <w:r>
        <w:rPr>
          <w:rFonts w:hint="eastAsia" w:ascii="黑体" w:hAnsi="黑体" w:eastAsia="黑体" w:cs="宋体"/>
          <w:kern w:val="0"/>
          <w:sz w:val="32"/>
          <w:szCs w:val="32"/>
        </w:rPr>
        <w:t xml:space="preserve">第八条 </w:t>
      </w:r>
      <w:r>
        <w:rPr>
          <w:rFonts w:hint="eastAsia" w:ascii="仿宋_GB2312" w:hAnsi="仿宋_GB2312" w:eastAsia="仿宋_GB2312" w:cs="仿宋_GB2312"/>
          <w:kern w:val="0"/>
          <w:sz w:val="32"/>
          <w:szCs w:val="32"/>
          <w:lang w:eastAsia="zh-CN"/>
        </w:rPr>
        <w:t>农业生态资源保护资金</w:t>
      </w:r>
      <w:r>
        <w:rPr>
          <w:rFonts w:hint="eastAsia" w:ascii="仿宋_GB2312" w:hAnsi="仿宋_GB2312" w:eastAsia="仿宋_GB2312" w:cs="仿宋_GB2312"/>
          <w:kern w:val="0"/>
          <w:sz w:val="32"/>
          <w:szCs w:val="32"/>
        </w:rPr>
        <w:t>采取因素法和定额测算分配。采取因素法分配的，具体因素选择根据党中央、国务院有关决策部署和农业生态资源保护实际需要确定，并适时适当进行调整。党中央、国务院有明确部署的特定事项或区域，实行项目管理、承担相关试点的任务，以及计划单列市、新疆生产建设兵团、北大荒农垦集团有限公司、广东省农垦总局</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，可根据需要采取定额测算分配方式。</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宋体" w:eastAsia="仿宋_GB2312" w:cs="宋体"/>
          <w:kern w:val="0"/>
          <w:sz w:val="32"/>
          <w:szCs w:val="32"/>
        </w:rPr>
      </w:pPr>
      <w:r>
        <w:rPr>
          <w:rFonts w:hint="eastAsia" w:ascii="黑体" w:hAnsi="黑体" w:eastAsia="黑体" w:cs="宋体"/>
          <w:kern w:val="0"/>
          <w:sz w:val="32"/>
          <w:szCs w:val="32"/>
        </w:rPr>
        <w:t>第</w:t>
      </w:r>
      <w:r>
        <w:rPr>
          <w:rFonts w:hint="default" w:ascii="黑体" w:hAnsi="黑体" w:eastAsia="黑体" w:cs="宋体"/>
          <w:kern w:val="0"/>
          <w:sz w:val="32"/>
          <w:szCs w:val="32"/>
        </w:rPr>
        <w:t>九</w:t>
      </w:r>
      <w:r>
        <w:rPr>
          <w:rFonts w:hint="eastAsia" w:ascii="黑体" w:hAnsi="黑体" w:eastAsia="黑体" w:cs="宋体"/>
          <w:kern w:val="0"/>
          <w:sz w:val="32"/>
          <w:szCs w:val="32"/>
        </w:rPr>
        <w:t>条</w:t>
      </w:r>
      <w:r>
        <w:rPr>
          <w:rFonts w:hint="eastAsia" w:ascii="黑体" w:hAnsi="黑体" w:eastAsia="黑体" w:cs="宋体"/>
          <w:kern w:val="0"/>
          <w:sz w:val="32"/>
          <w:szCs w:val="32"/>
          <w:lang w:val="en-US" w:eastAsia="zh-CN"/>
        </w:rPr>
        <w:t xml:space="preserve"> </w:t>
      </w:r>
      <w:r>
        <w:rPr>
          <w:rFonts w:hint="eastAsia" w:ascii="仿宋_GB2312" w:hAnsi="宋体" w:eastAsia="仿宋_GB2312" w:cs="宋体"/>
          <w:kern w:val="0"/>
          <w:sz w:val="32"/>
          <w:szCs w:val="32"/>
          <w:lang w:eastAsia="zh-CN"/>
        </w:rPr>
        <w:t>资金分配</w:t>
      </w:r>
      <w:r>
        <w:rPr>
          <w:rFonts w:hint="eastAsia" w:ascii="仿宋_GB2312" w:hAnsi="宋体" w:eastAsia="仿宋_GB2312" w:cs="宋体"/>
          <w:kern w:val="0"/>
          <w:sz w:val="32"/>
          <w:szCs w:val="32"/>
        </w:rPr>
        <w:t>可根据绩效评价结果、</w:t>
      </w:r>
      <w:r>
        <w:rPr>
          <w:rFonts w:hint="eastAsia" w:ascii="仿宋_GB2312" w:hAnsi="宋体" w:eastAsia="仿宋_GB2312" w:cs="宋体"/>
          <w:kern w:val="0"/>
          <w:sz w:val="32"/>
          <w:szCs w:val="32"/>
          <w:lang w:eastAsia="zh-CN"/>
        </w:rPr>
        <w:t>上年度</w:t>
      </w:r>
      <w:r>
        <w:rPr>
          <w:rFonts w:hint="eastAsia" w:ascii="仿宋_GB2312" w:hAnsi="宋体" w:eastAsia="仿宋_GB2312" w:cs="宋体"/>
          <w:kern w:val="0"/>
          <w:sz w:val="32"/>
          <w:szCs w:val="32"/>
        </w:rPr>
        <w:t>地方财政</w:t>
      </w:r>
      <w:r>
        <w:rPr>
          <w:rFonts w:hint="eastAsia" w:ascii="仿宋_GB2312" w:hAnsi="宋体" w:eastAsia="仿宋_GB2312" w:cs="宋体"/>
          <w:kern w:val="0"/>
          <w:sz w:val="32"/>
          <w:szCs w:val="32"/>
          <w:lang w:eastAsia="zh-CN"/>
        </w:rPr>
        <w:t>一般公共预算农林水</w:t>
      </w:r>
      <w:r>
        <w:rPr>
          <w:rFonts w:hint="eastAsia" w:ascii="仿宋_GB2312" w:hAnsi="宋体" w:eastAsia="仿宋_GB2312" w:cs="宋体"/>
          <w:kern w:val="0"/>
          <w:sz w:val="32"/>
          <w:szCs w:val="32"/>
        </w:rPr>
        <w:t>投入、</w:t>
      </w:r>
      <w:r>
        <w:rPr>
          <w:rFonts w:hint="eastAsia" w:ascii="仿宋_GB2312" w:hAnsi="宋体" w:eastAsia="仿宋_GB2312" w:cs="宋体"/>
          <w:kern w:val="0"/>
          <w:sz w:val="32"/>
          <w:szCs w:val="32"/>
          <w:lang w:eastAsia="zh-CN"/>
        </w:rPr>
        <w:t>预算执行等</w:t>
      </w:r>
      <w:r>
        <w:rPr>
          <w:rFonts w:hint="eastAsia" w:ascii="仿宋_GB2312" w:hAnsi="宋体" w:eastAsia="仿宋_GB2312" w:cs="宋体"/>
          <w:kern w:val="0"/>
          <w:sz w:val="32"/>
          <w:szCs w:val="32"/>
        </w:rPr>
        <w:t>资金管理</w:t>
      </w:r>
      <w:r>
        <w:rPr>
          <w:rFonts w:hint="eastAsia" w:ascii="仿宋_GB2312" w:hAnsi="宋体" w:eastAsia="仿宋_GB2312" w:cs="宋体"/>
          <w:kern w:val="0"/>
          <w:sz w:val="32"/>
          <w:szCs w:val="32"/>
          <w:lang w:eastAsia="zh-CN"/>
        </w:rPr>
        <w:t>使用情况、审计等</w:t>
      </w:r>
      <w:r>
        <w:rPr>
          <w:rFonts w:hint="eastAsia" w:ascii="仿宋_GB2312" w:hAnsi="宋体" w:eastAsia="仿宋_GB2312" w:cs="宋体"/>
          <w:kern w:val="0"/>
          <w:sz w:val="32"/>
          <w:szCs w:val="32"/>
        </w:rPr>
        <w:t>监督</w:t>
      </w:r>
      <w:r>
        <w:rPr>
          <w:rFonts w:hint="eastAsia" w:ascii="仿宋_GB2312" w:hAnsi="宋体" w:eastAsia="仿宋_GB2312" w:cs="宋体"/>
          <w:kern w:val="0"/>
          <w:sz w:val="32"/>
          <w:szCs w:val="32"/>
          <w:lang w:eastAsia="zh-CN"/>
        </w:rPr>
        <w:t>发现问题</w:t>
      </w:r>
      <w:r>
        <w:rPr>
          <w:rFonts w:hint="eastAsia" w:ascii="仿宋_GB2312" w:hAnsi="宋体" w:eastAsia="仿宋_GB2312" w:cs="宋体"/>
          <w:kern w:val="0"/>
          <w:sz w:val="32"/>
          <w:szCs w:val="32"/>
        </w:rPr>
        <w:t>等因素进行适当调节</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进一步突出激励导向。</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w:t>
      </w:r>
      <w:r>
        <w:rPr>
          <w:rFonts w:hint="eastAsia" w:ascii="黑体" w:hAnsi="黑体" w:eastAsia="黑体" w:cs="宋体"/>
          <w:kern w:val="0"/>
          <w:sz w:val="32"/>
          <w:szCs w:val="32"/>
          <w:lang w:eastAsia="zh-CN"/>
        </w:rPr>
        <w:t>十</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因素法测算</w:t>
      </w:r>
      <w:r>
        <w:rPr>
          <w:rFonts w:hint="default" w:ascii="仿宋_GB2312" w:hAnsi="宋体" w:eastAsia="仿宋_GB2312" w:cs="宋体"/>
          <w:kern w:val="0"/>
          <w:sz w:val="32"/>
          <w:szCs w:val="32"/>
        </w:rPr>
        <w:t>的</w:t>
      </w:r>
      <w:r>
        <w:rPr>
          <w:rFonts w:hint="eastAsia" w:ascii="仿宋_GB2312" w:hAnsi="宋体" w:eastAsia="仿宋_GB2312" w:cs="宋体"/>
          <w:kern w:val="0"/>
          <w:sz w:val="32"/>
          <w:szCs w:val="32"/>
        </w:rPr>
        <w:t>分配因素包括：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（一）基础因素，主要包括</w:t>
      </w:r>
      <w:r>
        <w:rPr>
          <w:rFonts w:hint="eastAsia" w:ascii="仿宋_GB2312" w:hAnsi="仿宋_GB2312" w:eastAsia="仿宋_GB2312" w:cs="仿宋_GB2312"/>
          <w:color w:val="auto"/>
          <w:kern w:val="0"/>
          <w:sz w:val="32"/>
          <w:szCs w:val="32"/>
          <w:highlight w:val="none"/>
        </w:rPr>
        <w:t>水生生物保护区面积</w:t>
      </w:r>
      <w:r>
        <w:rPr>
          <w:rFonts w:hint="eastAsia" w:ascii="仿宋_GB2312" w:hAnsi="宋体" w:eastAsia="仿宋_GB2312" w:cs="宋体"/>
          <w:kern w:val="0"/>
          <w:sz w:val="32"/>
          <w:szCs w:val="32"/>
          <w:lang w:eastAsia="zh-CN"/>
        </w:rPr>
        <w:t>、秸秆利用资源量</w:t>
      </w:r>
      <w:r>
        <w:rPr>
          <w:rFonts w:hint="eastAsia" w:ascii="仿宋_GB2312" w:hAnsi="宋体" w:eastAsia="仿宋_GB2312" w:cs="宋体"/>
          <w:kern w:val="0"/>
          <w:sz w:val="32"/>
          <w:szCs w:val="32"/>
        </w:rPr>
        <w:t>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（二）任务因素，主要包括重大规划任务、新设试点任务</w:t>
      </w:r>
      <w:r>
        <w:rPr>
          <w:rFonts w:hint="default" w:ascii="仿宋_GB2312" w:hAnsi="宋体" w:eastAsia="仿宋_GB2312" w:cs="宋体"/>
          <w:kern w:val="0"/>
          <w:sz w:val="32"/>
          <w:szCs w:val="32"/>
        </w:rPr>
        <w:t>、重点工作安排，以及</w:t>
      </w:r>
      <w:r>
        <w:rPr>
          <w:rFonts w:hint="eastAsia" w:ascii="仿宋_GB2312" w:hAnsi="宋体" w:eastAsia="仿宋_GB2312" w:cs="宋体"/>
          <w:kern w:val="0"/>
          <w:sz w:val="32"/>
          <w:szCs w:val="32"/>
        </w:rPr>
        <w:t>党中央、国务院明确要求的涉及国计民生的事项等共同财政事权</w:t>
      </w:r>
      <w:r>
        <w:rPr>
          <w:rFonts w:hint="eastAsia" w:ascii="仿宋_GB2312" w:hAnsi="宋体" w:eastAsia="仿宋_GB2312" w:cs="宋体"/>
          <w:kern w:val="0"/>
          <w:sz w:val="32"/>
          <w:szCs w:val="32"/>
          <w:lang w:eastAsia="zh-CN"/>
        </w:rPr>
        <w:t>事项</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（三）脱贫地区因素，主要包括832个脱贫县（原国家扶贫开发工作重点县和连片特困地区县）粮食播种面积和所在省脱贫人口等。</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基础、任务、脱贫地区因素根据相关支出方向</w:t>
      </w:r>
      <w:r>
        <w:rPr>
          <w:rFonts w:hint="eastAsia" w:ascii="仿宋_GB2312" w:hAnsi="宋体" w:eastAsia="仿宋_GB2312" w:cs="宋体"/>
          <w:kern w:val="0"/>
          <w:sz w:val="32"/>
          <w:szCs w:val="32"/>
          <w:lang w:eastAsia="zh-CN"/>
        </w:rPr>
        <w:t>和支持内容</w:t>
      </w:r>
      <w:r>
        <w:rPr>
          <w:rFonts w:hint="eastAsia" w:ascii="仿宋_GB2312" w:hAnsi="宋体" w:eastAsia="仿宋_GB2312" w:cs="宋体"/>
          <w:kern w:val="0"/>
          <w:sz w:val="32"/>
          <w:szCs w:val="32"/>
        </w:rPr>
        <w:t>具体确定。</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w:t>
      </w:r>
      <w:r>
        <w:rPr>
          <w:rFonts w:hint="default" w:ascii="黑体" w:hAnsi="黑体" w:eastAsia="黑体" w:cs="宋体"/>
          <w:kern w:val="0"/>
          <w:sz w:val="32"/>
          <w:szCs w:val="32"/>
        </w:rPr>
        <w:t>十</w:t>
      </w:r>
      <w:r>
        <w:rPr>
          <w:rFonts w:hint="eastAsia" w:ascii="黑体" w:hAnsi="黑体" w:eastAsia="黑体" w:cs="宋体"/>
          <w:kern w:val="0"/>
          <w:sz w:val="32"/>
          <w:szCs w:val="32"/>
          <w:lang w:eastAsia="zh-CN"/>
        </w:rPr>
        <w:t>一</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财政部应当在</w:t>
      </w:r>
      <w:r>
        <w:rPr>
          <w:rFonts w:hint="eastAsia" w:ascii="仿宋_GB2312" w:hAnsi="宋体" w:eastAsia="仿宋_GB2312" w:cs="宋体"/>
          <w:kern w:val="0"/>
          <w:sz w:val="32"/>
          <w:szCs w:val="32"/>
          <w:lang w:eastAsia="zh-CN"/>
        </w:rPr>
        <w:t>每年</w:t>
      </w:r>
      <w:r>
        <w:rPr>
          <w:rFonts w:hint="eastAsia" w:ascii="仿宋_GB2312" w:hAnsi="宋体" w:eastAsia="仿宋_GB2312" w:cs="宋体"/>
          <w:kern w:val="0"/>
          <w:sz w:val="32"/>
          <w:szCs w:val="32"/>
        </w:rPr>
        <w:t>全国人民代表大会审查批准中央预算后30日内将</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资金预算下达省级财政部门，同时抄送农业农村部、省级农业农村部门和财政部当地监管局，并同步下达区域绩效目标，作为开展绩效</w:t>
      </w:r>
      <w:r>
        <w:rPr>
          <w:rFonts w:hint="eastAsia" w:ascii="仿宋_GB2312" w:hAnsi="宋体" w:eastAsia="仿宋_GB2312" w:cs="宋体"/>
          <w:kern w:val="0"/>
          <w:sz w:val="32"/>
          <w:szCs w:val="32"/>
          <w:lang w:eastAsia="zh-CN"/>
        </w:rPr>
        <w:t>运行</w:t>
      </w:r>
      <w:r>
        <w:rPr>
          <w:rFonts w:hint="eastAsia" w:ascii="仿宋_GB2312" w:hAnsi="宋体" w:eastAsia="仿宋_GB2312" w:cs="宋体"/>
          <w:kern w:val="0"/>
          <w:sz w:val="32"/>
          <w:szCs w:val="32"/>
        </w:rPr>
        <w:t>监控、绩效评价的依据。财政部应在每年10月31日前将下一年度</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资金预计数提前下达省级财政部门，同时抄送农业农村部、省级农业农村部门和财政部当地监管局。</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资金分配结果在资金预算下达文件印发后20日内向社会公开，涉及国家秘密的除外。</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黑体" w:hAnsi="黑体" w:eastAsia="黑体" w:cs="宋体"/>
          <w:kern w:val="0"/>
          <w:sz w:val="32"/>
          <w:szCs w:val="32"/>
        </w:rPr>
        <w:t>第十</w:t>
      </w:r>
      <w:r>
        <w:rPr>
          <w:rFonts w:hint="default" w:ascii="黑体" w:hAnsi="黑体" w:eastAsia="黑体" w:cs="宋体"/>
          <w:kern w:val="0"/>
          <w:sz w:val="32"/>
          <w:szCs w:val="32"/>
        </w:rPr>
        <w:t>二</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资金的支付，按照国库集中支付制度有关规定执行。属于政府采购管理范围的，按照政府采购法律制度规定执行。</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第四章 资金使用和管理</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第十</w:t>
      </w:r>
      <w:r>
        <w:rPr>
          <w:rFonts w:hint="default" w:ascii="黑体" w:hAnsi="黑体" w:eastAsia="黑体" w:cs="宋体"/>
          <w:kern w:val="0"/>
          <w:sz w:val="32"/>
          <w:szCs w:val="32"/>
        </w:rPr>
        <w:t>三</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w:t>
      </w:r>
      <w:r>
        <w:rPr>
          <w:rFonts w:hint="eastAsia" w:ascii="仿宋_GB2312" w:hAnsi="宋体" w:eastAsia="仿宋_GB2312" w:cs="宋体"/>
          <w:kern w:val="0"/>
          <w:sz w:val="32"/>
          <w:szCs w:val="32"/>
          <w:lang w:eastAsia="zh-CN"/>
        </w:rPr>
        <w:t>按照资金投入与任务相匹配进行使用管理，</w:t>
      </w:r>
      <w:r>
        <w:rPr>
          <w:rFonts w:hint="eastAsia" w:ascii="仿宋_GB2312" w:hAnsi="宋体" w:eastAsia="仿宋_GB2312" w:cs="宋体"/>
          <w:kern w:val="0"/>
          <w:sz w:val="32"/>
          <w:szCs w:val="32"/>
        </w:rPr>
        <w:t>并实施年度动态调整。任务</w:t>
      </w:r>
      <w:r>
        <w:rPr>
          <w:rFonts w:hint="eastAsia" w:ascii="仿宋_GB2312" w:hAnsi="宋体" w:eastAsia="仿宋_GB2312" w:cs="宋体"/>
          <w:kern w:val="0"/>
          <w:sz w:val="32"/>
          <w:szCs w:val="32"/>
          <w:lang w:eastAsia="zh-CN"/>
        </w:rPr>
        <w:t>根据农业生态资源保护</w:t>
      </w:r>
      <w:r>
        <w:rPr>
          <w:rFonts w:hint="eastAsia" w:ascii="仿宋_GB2312" w:hAnsi="宋体" w:eastAsia="仿宋_GB2312" w:cs="宋体"/>
          <w:kern w:val="0"/>
          <w:sz w:val="32"/>
          <w:szCs w:val="32"/>
        </w:rPr>
        <w:t>资金支持的年度重点工作</w:t>
      </w:r>
      <w:r>
        <w:rPr>
          <w:rFonts w:hint="eastAsia" w:ascii="仿宋_GB2312" w:hAnsi="宋体" w:eastAsia="仿宋_GB2312" w:cs="宋体"/>
          <w:kern w:val="0"/>
          <w:sz w:val="32"/>
          <w:szCs w:val="32"/>
          <w:lang w:eastAsia="zh-CN"/>
        </w:rPr>
        <w:t>研究确定，</w:t>
      </w:r>
      <w:r>
        <w:rPr>
          <w:rFonts w:hint="eastAsia" w:ascii="仿宋_GB2312" w:hAnsi="宋体" w:eastAsia="仿宋_GB2312" w:cs="宋体"/>
          <w:kern w:val="0"/>
          <w:sz w:val="32"/>
          <w:szCs w:val="32"/>
        </w:rPr>
        <w:t>与资金预算同步下达。下达预算时可明确</w:t>
      </w:r>
      <w:r>
        <w:rPr>
          <w:rFonts w:hint="eastAsia" w:ascii="仿宋_GB2312" w:hAnsi="宋体" w:eastAsia="仿宋_GB2312" w:cs="宋体"/>
          <w:kern w:val="0"/>
          <w:sz w:val="32"/>
          <w:szCs w:val="32"/>
          <w:lang w:eastAsia="zh-CN"/>
        </w:rPr>
        <w:t>相关重点</w:t>
      </w:r>
      <w:r>
        <w:rPr>
          <w:rFonts w:hint="eastAsia" w:ascii="仿宋_GB2312" w:hAnsi="宋体" w:eastAsia="仿宋_GB2312" w:cs="宋体"/>
          <w:kern w:val="0"/>
          <w:sz w:val="32"/>
          <w:szCs w:val="32"/>
        </w:rPr>
        <w:t>任务对应资金额度。各地不得跨转移支付项目整合资金，不得超出任务范围安排资金，不得将中央财政资金直接切块用于省级及以下地方性政策任务。</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第十</w:t>
      </w:r>
      <w:r>
        <w:rPr>
          <w:rFonts w:hint="default" w:ascii="黑体" w:hAnsi="黑体" w:eastAsia="黑体" w:cs="宋体"/>
          <w:kern w:val="0"/>
          <w:sz w:val="32"/>
          <w:szCs w:val="32"/>
        </w:rPr>
        <w:t>四</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各级财政、农业农村部门应当加快预算执行，提高资金使用效益。结转结余的</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资金，按照《中华人民共和国预算法》和财政部有关结转结余资金管理的相关规定处理。</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第十</w:t>
      </w:r>
      <w:r>
        <w:rPr>
          <w:rFonts w:hint="default" w:ascii="黑体" w:hAnsi="黑体" w:eastAsia="黑体" w:cs="宋体"/>
          <w:kern w:val="0"/>
          <w:sz w:val="32"/>
          <w:szCs w:val="32"/>
        </w:rPr>
        <w:t>五</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省级财政部门会同农业农村部门，根据本办法和财政部、农业农村部下达的工作任务与绩效目标，结合本地区</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实际情况，制定本省年度资金使用方案，于每年6月30日前以正式文件报财政部、农业农村部备案，抄送财政部当地监管局。</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第十</w:t>
      </w:r>
      <w:r>
        <w:rPr>
          <w:rFonts w:hint="default" w:ascii="黑体" w:hAnsi="黑体" w:eastAsia="黑体" w:cs="宋体"/>
          <w:kern w:val="0"/>
          <w:sz w:val="32"/>
          <w:szCs w:val="32"/>
        </w:rPr>
        <w:t>六</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各级农业农村部门应当组织核实资金支持对象的资格、条件，督促检查工作任务完成情况，为财政部门按规定标准分配、审核拨付资金提供依据，对不符合法律</w:t>
      </w:r>
      <w:r>
        <w:rPr>
          <w:rFonts w:hint="eastAsia" w:ascii="仿宋_GB2312" w:hAnsi="宋体" w:eastAsia="仿宋_GB2312" w:cs="宋体"/>
          <w:kern w:val="0"/>
          <w:sz w:val="32"/>
          <w:szCs w:val="32"/>
          <w:lang w:eastAsia="zh-CN"/>
        </w:rPr>
        <w:t>和</w:t>
      </w:r>
      <w:r>
        <w:rPr>
          <w:rFonts w:hint="eastAsia" w:ascii="仿宋_GB2312" w:hAnsi="宋体" w:eastAsia="仿宋_GB2312" w:cs="宋体"/>
          <w:kern w:val="0"/>
          <w:sz w:val="32"/>
          <w:szCs w:val="32"/>
        </w:rPr>
        <w:t>行政法规等有关规定</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政策到期以及已从中央基建投资等其他渠道获得</w:t>
      </w:r>
      <w:r>
        <w:rPr>
          <w:rFonts w:hint="eastAsia" w:ascii="仿宋_GB2312" w:hAnsi="宋体" w:eastAsia="仿宋_GB2312" w:cs="宋体"/>
          <w:kern w:val="0"/>
          <w:sz w:val="32"/>
          <w:szCs w:val="32"/>
          <w:lang w:eastAsia="zh-CN"/>
        </w:rPr>
        <w:t>性质类同的</w:t>
      </w:r>
      <w:r>
        <w:rPr>
          <w:rFonts w:hint="eastAsia" w:ascii="仿宋_GB2312" w:hAnsi="宋体" w:eastAsia="仿宋_GB2312" w:cs="宋体"/>
          <w:kern w:val="0"/>
          <w:sz w:val="32"/>
          <w:szCs w:val="32"/>
        </w:rPr>
        <w:t>中央财政资金支持的项目严格审核，不得申请</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资金支持。</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第十</w:t>
      </w:r>
      <w:r>
        <w:rPr>
          <w:rFonts w:hint="default" w:ascii="黑体" w:hAnsi="黑体" w:eastAsia="黑体" w:cs="宋体"/>
          <w:kern w:val="0"/>
          <w:sz w:val="32"/>
          <w:szCs w:val="32"/>
        </w:rPr>
        <w:t>七</w:t>
      </w:r>
      <w:r>
        <w:rPr>
          <w:rFonts w:hint="eastAsia" w:ascii="黑体" w:hAnsi="黑体" w:eastAsia="黑体" w:cs="宋体"/>
          <w:kern w:val="0"/>
          <w:sz w:val="32"/>
          <w:szCs w:val="32"/>
        </w:rPr>
        <w:t xml:space="preserve">条 </w:t>
      </w:r>
      <w:r>
        <w:rPr>
          <w:rFonts w:hint="eastAsia" w:ascii="仿宋_GB2312" w:hAnsi="宋体" w:eastAsia="仿宋_GB2312" w:cs="宋体"/>
          <w:color w:val="auto"/>
          <w:kern w:val="0"/>
          <w:sz w:val="32"/>
          <w:szCs w:val="32"/>
          <w:highlight w:val="none"/>
          <w:lang w:val="en-US" w:eastAsia="zh-CN"/>
        </w:rPr>
        <w:t>巩固拓展脱贫攻坚成果同乡村振兴有效衔接过渡期内，</w:t>
      </w:r>
      <w:r>
        <w:rPr>
          <w:rFonts w:hint="eastAsia" w:ascii="仿宋_GB2312" w:hAnsi="宋体" w:eastAsia="仿宋_GB2312" w:cs="宋体"/>
          <w:kern w:val="0"/>
          <w:sz w:val="32"/>
          <w:szCs w:val="32"/>
        </w:rPr>
        <w:t>安排给832个脱贫县（原国家扶贫开发工作重点县和连片特困地区县）和国家乡村振兴重点帮扶县的资金，按照财政部等11部门《关于继续支持脱贫县统筹整合使用财政涉农资金工作的通知》（财农〔2021〕22号）有关规定执行。</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第五章 绩效管理和监督</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588" w:lineRule="exact"/>
        <w:ind w:left="0"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黑体" w:hAnsi="黑体" w:eastAsia="黑体" w:cs="宋体"/>
          <w:kern w:val="0"/>
          <w:sz w:val="32"/>
          <w:szCs w:val="32"/>
        </w:rPr>
        <w:t>第十</w:t>
      </w:r>
      <w:r>
        <w:rPr>
          <w:rFonts w:hint="default" w:ascii="黑体" w:hAnsi="黑体" w:eastAsia="黑体" w:cs="宋体"/>
          <w:kern w:val="0"/>
          <w:sz w:val="32"/>
          <w:szCs w:val="32"/>
        </w:rPr>
        <w:t>八</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资金实行全过程预算绩效管理，各级财政、农业农村部门</w:t>
      </w:r>
      <w:r>
        <w:rPr>
          <w:rFonts w:hint="eastAsia" w:ascii="仿宋_GB2312" w:hAnsi="宋体" w:eastAsia="仿宋_GB2312" w:cs="宋体"/>
          <w:kern w:val="0"/>
          <w:sz w:val="32"/>
          <w:szCs w:val="32"/>
          <w:lang w:eastAsia="zh-CN"/>
        </w:rPr>
        <w:t>参</w:t>
      </w:r>
      <w:r>
        <w:rPr>
          <w:rFonts w:hint="eastAsia" w:ascii="仿宋_GB2312" w:hAnsi="宋体" w:eastAsia="仿宋_GB2312" w:cs="宋体"/>
          <w:kern w:val="0"/>
          <w:sz w:val="32"/>
          <w:szCs w:val="32"/>
        </w:rPr>
        <w:t>照《农业相关转移支付资金绩效管理办法》（财农〔2019〕48号）等有关制度规定，设定资金绩效目标、开展绩效目标执行情况监控和绩效评价等工作，</w:t>
      </w:r>
      <w:r>
        <w:rPr>
          <w:rFonts w:hint="eastAsia" w:ascii="仿宋_GB2312" w:hAnsi="宋体" w:eastAsia="仿宋_GB2312" w:cs="宋体"/>
          <w:color w:val="auto"/>
          <w:kern w:val="0"/>
          <w:sz w:val="32"/>
          <w:szCs w:val="32"/>
          <w:highlight w:val="none"/>
          <w:lang w:eastAsia="zh-CN"/>
        </w:rPr>
        <w:t>绩效目标设定应与资金量、成本效益等相匹配。</w:t>
      </w:r>
    </w:p>
    <w:p>
      <w:pPr>
        <w:pStyle w:val="2"/>
        <w:keepNext w:val="0"/>
        <w:keepLines w:val="0"/>
        <w:pageBreakBefore w:val="0"/>
        <w:widowControl w:val="0"/>
        <w:kinsoku/>
        <w:wordWrap/>
        <w:overflowPunct/>
        <w:topLinePunct w:val="0"/>
        <w:autoSpaceDE/>
        <w:autoSpaceDN/>
        <w:bidi w:val="0"/>
        <w:adjustRightInd/>
        <w:snapToGrid/>
        <w:spacing w:line="588" w:lineRule="exact"/>
        <w:ind w:left="0" w:firstLine="616" w:firstLineChars="200"/>
        <w:textAlignment w:val="auto"/>
        <w:rPr>
          <w:rFonts w:hint="eastAsia" w:ascii="仿宋_GB2312" w:hAnsi="仿宋_GB2312" w:eastAsia="仿宋_GB2312" w:cs="仿宋_GB2312"/>
          <w:b w:val="0"/>
          <w:bCs w:val="0"/>
          <w:spacing w:val="-6"/>
          <w:sz w:val="32"/>
          <w:szCs w:val="32"/>
          <w:lang w:val="en" w:eastAsia="zh-CN"/>
        </w:rPr>
      </w:pPr>
      <w:r>
        <w:rPr>
          <w:rFonts w:hint="eastAsia" w:ascii="仿宋_GB2312" w:hAnsi="仿宋_GB2312" w:eastAsia="仿宋_GB2312" w:cs="仿宋_GB2312"/>
          <w:b w:val="0"/>
          <w:bCs w:val="0"/>
          <w:spacing w:val="-6"/>
          <w:sz w:val="32"/>
          <w:szCs w:val="32"/>
          <w:lang w:val="en" w:eastAsia="zh-CN"/>
        </w:rPr>
        <w:t>各级财政、农业农村部门要加强绩效目标管理，按要求科学合理设定、审核绩效目标。未按要求设定绩效目标或绩效目标设定不合理且未按要求调整的，不得进入转移支付预算分配和资金分配流程。</w:t>
      </w:r>
    </w:p>
    <w:p>
      <w:pPr>
        <w:pStyle w:val="2"/>
        <w:keepNext w:val="0"/>
        <w:keepLines w:val="0"/>
        <w:pageBreakBefore w:val="0"/>
        <w:widowControl w:val="0"/>
        <w:kinsoku/>
        <w:wordWrap/>
        <w:overflowPunct/>
        <w:topLinePunct w:val="0"/>
        <w:autoSpaceDE/>
        <w:autoSpaceDN/>
        <w:bidi w:val="0"/>
        <w:adjustRightInd/>
        <w:snapToGrid/>
        <w:spacing w:line="588" w:lineRule="exact"/>
        <w:ind w:left="0" w:firstLine="616" w:firstLineChars="200"/>
        <w:textAlignment w:val="auto"/>
        <w:rPr>
          <w:rFonts w:hint="eastAsia" w:ascii="仿宋_GB2312" w:hAnsi="仿宋_GB2312" w:eastAsia="仿宋_GB2312" w:cs="仿宋_GB2312"/>
          <w:b w:val="0"/>
          <w:bCs w:val="0"/>
          <w:spacing w:val="-6"/>
          <w:sz w:val="32"/>
          <w:szCs w:val="32"/>
          <w:lang w:val="en" w:eastAsia="zh-CN"/>
        </w:rPr>
      </w:pPr>
      <w:r>
        <w:rPr>
          <w:rFonts w:hint="eastAsia" w:ascii="仿宋_GB2312" w:hAnsi="仿宋_GB2312" w:eastAsia="仿宋_GB2312" w:cs="仿宋_GB2312"/>
          <w:b w:val="0"/>
          <w:bCs w:val="0"/>
          <w:spacing w:val="-6"/>
          <w:sz w:val="32"/>
          <w:szCs w:val="32"/>
          <w:lang w:val="en" w:eastAsia="zh-CN"/>
        </w:rPr>
        <w:t>预算执行中，各级财政、农业农村部门按要求开展绩效运行监控，及时发现并纠正存在的问题，确保绩效目标如期实现。</w:t>
      </w:r>
    </w:p>
    <w:p>
      <w:pPr>
        <w:pStyle w:val="2"/>
        <w:keepNext w:val="0"/>
        <w:keepLines w:val="0"/>
        <w:pageBreakBefore w:val="0"/>
        <w:widowControl w:val="0"/>
        <w:kinsoku/>
        <w:wordWrap/>
        <w:overflowPunct/>
        <w:topLinePunct w:val="0"/>
        <w:autoSpaceDE/>
        <w:autoSpaceDN/>
        <w:bidi w:val="0"/>
        <w:adjustRightInd/>
        <w:snapToGrid/>
        <w:spacing w:line="588" w:lineRule="exact"/>
        <w:ind w:left="0" w:firstLine="616" w:firstLineChars="200"/>
        <w:textAlignment w:val="auto"/>
        <w:rPr>
          <w:rFonts w:hint="eastAsia" w:ascii="仿宋_GB2312" w:hAnsi="仿宋_GB2312" w:eastAsia="仿宋_GB2312" w:cs="仿宋_GB2312"/>
          <w:b w:val="0"/>
          <w:bCs w:val="0"/>
          <w:spacing w:val="-6"/>
          <w:sz w:val="32"/>
          <w:szCs w:val="32"/>
          <w:lang w:val="en" w:eastAsia="zh-CN"/>
        </w:rPr>
      </w:pPr>
      <w:r>
        <w:rPr>
          <w:rFonts w:hint="eastAsia" w:ascii="仿宋_GB2312" w:hAnsi="仿宋_GB2312" w:eastAsia="仿宋_GB2312" w:cs="仿宋_GB2312"/>
          <w:b w:val="0"/>
          <w:bCs w:val="0"/>
          <w:spacing w:val="-6"/>
          <w:sz w:val="32"/>
          <w:szCs w:val="32"/>
          <w:lang w:val="en" w:eastAsia="zh-CN"/>
        </w:rPr>
        <w:t>预算执行结束后，省级财政、农业农村部门按要求开展绩效自评，并将绩效自评结果报送财政部、农业农村部，抄送财政部当地监管局。农业农村部、财政部按程序汇总审核形成整体绩效自评结果。财政部根据工作需要适时组织开展重点绩效评价。</w:t>
      </w:r>
    </w:p>
    <w:p>
      <w:pPr>
        <w:keepNext w:val="0"/>
        <w:keepLines w:val="0"/>
        <w:pageBreakBefore w:val="0"/>
        <w:kinsoku/>
        <w:wordWrap/>
        <w:overflowPunct/>
        <w:topLinePunct w:val="0"/>
        <w:autoSpaceDE/>
        <w:autoSpaceDN/>
        <w:bidi w:val="0"/>
        <w:adjustRightInd/>
        <w:snapToGrid/>
        <w:spacing w:beforeLines="0" w:line="600" w:lineRule="exact"/>
        <w:ind w:firstLine="616" w:firstLineChars="200"/>
        <w:textAlignment w:val="auto"/>
        <w:rPr>
          <w:rFonts w:ascii="仿宋_GB2312" w:hAnsi="宋体" w:eastAsia="仿宋_GB2312" w:cs="宋体"/>
          <w:kern w:val="0"/>
          <w:sz w:val="32"/>
          <w:szCs w:val="32"/>
        </w:rPr>
      </w:pPr>
      <w:r>
        <w:rPr>
          <w:rFonts w:hint="eastAsia" w:ascii="仿宋_GB2312" w:hAnsi="仿宋_GB2312" w:eastAsia="仿宋_GB2312" w:cs="仿宋_GB2312"/>
          <w:b w:val="0"/>
          <w:bCs w:val="0"/>
          <w:spacing w:val="-6"/>
          <w:sz w:val="32"/>
          <w:szCs w:val="32"/>
          <w:lang w:val="en" w:eastAsia="zh-CN"/>
        </w:rPr>
        <w:t>各级财政、农业农村部门要加强绩效评价结果应用，按规定将绩效评价结果作为</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w:t>
      </w:r>
      <w:r>
        <w:rPr>
          <w:rFonts w:hint="eastAsia" w:ascii="仿宋_GB2312" w:hAnsi="仿宋_GB2312" w:eastAsia="仿宋_GB2312" w:cs="仿宋_GB2312"/>
          <w:b w:val="0"/>
          <w:bCs w:val="0"/>
          <w:spacing w:val="-6"/>
          <w:sz w:val="32"/>
          <w:szCs w:val="32"/>
          <w:lang w:val="en" w:eastAsia="zh-CN"/>
        </w:rPr>
        <w:t>预算安排、资金分配、改进管理和完善政策的重要依据；按规定做好绩效信息公开。</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第十</w:t>
      </w:r>
      <w:r>
        <w:rPr>
          <w:rFonts w:hint="default" w:ascii="黑体" w:hAnsi="黑体" w:eastAsia="黑体" w:cs="宋体"/>
          <w:kern w:val="0"/>
          <w:sz w:val="32"/>
          <w:szCs w:val="32"/>
        </w:rPr>
        <w:t>九</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各级财政、农业农村部门应当加强对</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资金分配、使用、管理情况的</w:t>
      </w:r>
      <w:r>
        <w:rPr>
          <w:rFonts w:hint="default" w:ascii="仿宋_GB2312" w:hAnsi="宋体" w:eastAsia="仿宋_GB2312" w:cs="宋体"/>
          <w:kern w:val="0"/>
          <w:sz w:val="32"/>
          <w:szCs w:val="32"/>
        </w:rPr>
        <w:t>全过程</w:t>
      </w:r>
      <w:r>
        <w:rPr>
          <w:rFonts w:hint="eastAsia" w:ascii="仿宋_GB2312" w:hAnsi="宋体" w:eastAsia="仿宋_GB2312" w:cs="宋体"/>
          <w:kern w:val="0"/>
          <w:sz w:val="32"/>
          <w:szCs w:val="32"/>
        </w:rPr>
        <w:t>监督，</w:t>
      </w:r>
      <w:r>
        <w:rPr>
          <w:rFonts w:hint="default" w:ascii="仿宋_GB2312" w:hAnsi="宋体" w:eastAsia="仿宋_GB2312" w:cs="宋体"/>
          <w:kern w:val="0"/>
          <w:sz w:val="32"/>
          <w:szCs w:val="32"/>
        </w:rPr>
        <w:t>综合运用大数据等技术手段提升监督效能，及时发现和纠正存在</w:t>
      </w:r>
      <w:r>
        <w:rPr>
          <w:rFonts w:hint="eastAsia" w:ascii="仿宋_GB2312" w:hAnsi="宋体" w:eastAsia="仿宋_GB2312" w:cs="宋体"/>
          <w:kern w:val="0"/>
          <w:sz w:val="32"/>
          <w:szCs w:val="32"/>
        </w:rPr>
        <w:t>问题。财政部各地监管局根据</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资金的年度工作任务和区域绩效目标，加强资金预算执行监管，根据财政部计划安排开展监督和绩效评价，形成监管报告报送财政部，同时跟踪发现问题的整改情况并督促落实。</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各级财政、农业农村部门应当按照防范和化解财政风险要求，强化流程控制、依法合规分配和使用资金，实行不相容岗位（职责）分离控制。</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hint="default" w:ascii="黑体" w:hAnsi="黑体" w:eastAsia="仿宋_GB2312" w:cs="宋体"/>
          <w:kern w:val="0"/>
          <w:sz w:val="32"/>
          <w:szCs w:val="32"/>
          <w:lang w:val="en-US" w:eastAsia="zh-CN"/>
        </w:rPr>
      </w:pPr>
      <w:r>
        <w:rPr>
          <w:rFonts w:hint="eastAsia" w:ascii="黑体" w:hAnsi="黑体" w:eastAsia="黑体" w:cs="宋体"/>
          <w:kern w:val="0"/>
          <w:sz w:val="32"/>
          <w:szCs w:val="32"/>
        </w:rPr>
        <w:t>第</w:t>
      </w:r>
      <w:r>
        <w:rPr>
          <w:rFonts w:hint="default" w:ascii="黑体" w:hAnsi="黑体" w:eastAsia="黑体" w:cs="宋体"/>
          <w:kern w:val="0"/>
          <w:sz w:val="32"/>
          <w:szCs w:val="32"/>
        </w:rPr>
        <w:t>二十</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各级财政、农业农村部门及其工作人员在资金分配、审核等工作中，存在违反规定修改基础数据、分配资金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向不符合条件的单位、个人（或项目）分配资金或者擅自超出规定的范围、标准分配或使用资金，以及存在其他滥用职权、玩忽职守、徇私舞弊等违法违规行为的，依法追究相应责任；涉嫌犯罪的，依法移送有关机关处理。</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w:t>
      </w:r>
      <w:r>
        <w:rPr>
          <w:rFonts w:hint="default" w:ascii="黑体" w:hAnsi="黑体" w:eastAsia="黑体" w:cs="宋体"/>
          <w:kern w:val="0"/>
          <w:sz w:val="32"/>
          <w:szCs w:val="32"/>
        </w:rPr>
        <w:t>二十</w:t>
      </w:r>
      <w:r>
        <w:rPr>
          <w:rFonts w:hint="eastAsia" w:ascii="黑体" w:hAnsi="黑体" w:eastAsia="黑体" w:cs="宋体"/>
          <w:kern w:val="0"/>
          <w:sz w:val="32"/>
          <w:szCs w:val="32"/>
        </w:rPr>
        <w:t xml:space="preserve">一条 </w:t>
      </w:r>
      <w:r>
        <w:rPr>
          <w:rFonts w:hint="eastAsia" w:ascii="仿宋_GB2312" w:hAnsi="宋体" w:eastAsia="仿宋_GB2312" w:cs="宋体"/>
          <w:kern w:val="0"/>
          <w:sz w:val="32"/>
          <w:szCs w:val="32"/>
        </w:rPr>
        <w:t>资金使用单位和个人虚报冒领、骗取套取、挤占挪用</w:t>
      </w:r>
      <w:r>
        <w:rPr>
          <w:rFonts w:hint="eastAsia" w:ascii="仿宋_GB2312" w:hAnsi="宋体" w:eastAsia="仿宋_GB2312" w:cs="宋体"/>
          <w:kern w:val="0"/>
          <w:sz w:val="32"/>
          <w:szCs w:val="32"/>
          <w:lang w:eastAsia="zh-CN"/>
        </w:rPr>
        <w:t>农业生态资源保护</w:t>
      </w:r>
      <w:r>
        <w:rPr>
          <w:rFonts w:hint="eastAsia" w:ascii="仿宋_GB2312" w:hAnsi="宋体" w:eastAsia="仿宋_GB2312" w:cs="宋体"/>
          <w:kern w:val="0"/>
          <w:sz w:val="32"/>
          <w:szCs w:val="32"/>
        </w:rPr>
        <w:t>资金，以及存在其他违反本办法规定行为的，依法追究相应责任。</w:t>
      </w:r>
    </w:p>
    <w:p>
      <w:pPr>
        <w:keepNext w:val="0"/>
        <w:keepLines w:val="0"/>
        <w:pageBreakBefore w:val="0"/>
        <w:kinsoku/>
        <w:wordWrap/>
        <w:overflowPunct/>
        <w:topLinePunct w:val="0"/>
        <w:autoSpaceDE/>
        <w:autoSpaceDN/>
        <w:bidi w:val="0"/>
        <w:adjustRightInd/>
        <w:snapToGrid/>
        <w:spacing w:beforeLines="0" w:line="600" w:lineRule="exact"/>
        <w:textAlignment w:val="auto"/>
        <w:rPr>
          <w:rFonts w:ascii="黑体" w:hAnsi="黑体" w:eastAsia="黑体"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第六章  附则</w:t>
      </w:r>
    </w:p>
    <w:p>
      <w:pPr>
        <w:keepNext w:val="0"/>
        <w:keepLines w:val="0"/>
        <w:pageBreakBefore w:val="0"/>
        <w:kinsoku/>
        <w:wordWrap/>
        <w:overflowPunct/>
        <w:topLinePunct w:val="0"/>
        <w:autoSpaceDE/>
        <w:autoSpaceDN/>
        <w:bidi w:val="0"/>
        <w:adjustRightInd/>
        <w:snapToGrid/>
        <w:spacing w:beforeLines="0" w:line="600" w:lineRule="exact"/>
        <w:textAlignment w:val="auto"/>
        <w:rPr>
          <w:rFonts w:ascii="黑体" w:hAnsi="黑体" w:eastAsia="黑体" w:cs="宋体"/>
          <w:kern w:val="0"/>
          <w:sz w:val="32"/>
          <w:szCs w:val="32"/>
        </w:rPr>
      </w:pP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第二十</w:t>
      </w:r>
      <w:r>
        <w:rPr>
          <w:rFonts w:hint="default" w:ascii="黑体" w:hAnsi="黑体" w:eastAsia="黑体" w:cs="宋体"/>
          <w:kern w:val="0"/>
          <w:sz w:val="32"/>
          <w:szCs w:val="32"/>
        </w:rPr>
        <w:t>二</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省级财政部门应当会同省级农业农村部门根据本办法制定实施细则，报送财政部和农业农村部备案，抄送财政部当地监管局。</w:t>
      </w:r>
      <w:bookmarkStart w:id="0" w:name="_GoBack"/>
      <w:bookmarkEnd w:id="0"/>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第二十</w:t>
      </w:r>
      <w:r>
        <w:rPr>
          <w:rFonts w:hint="default" w:ascii="黑体" w:hAnsi="黑体" w:eastAsia="黑体" w:cs="宋体"/>
          <w:kern w:val="0"/>
          <w:sz w:val="32"/>
          <w:szCs w:val="32"/>
        </w:rPr>
        <w:t>三</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本办法所称省是指省、自治区、直辖市、计划单列市、新疆生产建设兵团以及北大荒农垦集团有限公司、广东省农垦总局等。农业农村部门是指农业农村、农牧、畜牧兽医、渔业等行政主管部门。</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 xml:space="preserve">第二十四条 </w:t>
      </w:r>
      <w:r>
        <w:rPr>
          <w:rFonts w:hint="eastAsia" w:ascii="仿宋_GB2312" w:hAnsi="宋体" w:eastAsia="仿宋_GB2312" w:cs="宋体"/>
          <w:kern w:val="0"/>
          <w:sz w:val="32"/>
          <w:szCs w:val="32"/>
        </w:rPr>
        <w:t>本办法由财政部会同农业农村部负责解释。</w:t>
      </w:r>
    </w:p>
    <w:p>
      <w:pPr>
        <w:keepNext w:val="0"/>
        <w:keepLines w:val="0"/>
        <w:pageBreakBefore w:val="0"/>
        <w:kinsoku/>
        <w:wordWrap/>
        <w:overflowPunct/>
        <w:topLinePunct w:val="0"/>
        <w:autoSpaceDE/>
        <w:autoSpaceDN/>
        <w:bidi w:val="0"/>
        <w:adjustRightInd/>
        <w:snapToGrid/>
        <w:spacing w:beforeLines="0" w:line="600" w:lineRule="exact"/>
        <w:ind w:firstLine="640" w:firstLineChars="200"/>
        <w:textAlignment w:val="auto"/>
        <w:rPr>
          <w:rFonts w:ascii="黑体" w:hAnsi="黑体" w:eastAsia="黑体" w:cs="宋体"/>
          <w:kern w:val="0"/>
          <w:sz w:val="32"/>
          <w:szCs w:val="32"/>
        </w:rPr>
      </w:pPr>
      <w:r>
        <w:rPr>
          <w:rFonts w:hint="eastAsia" w:ascii="黑体" w:hAnsi="黑体" w:eastAsia="黑体" w:cs="宋体"/>
          <w:kern w:val="0"/>
          <w:sz w:val="32"/>
          <w:szCs w:val="32"/>
        </w:rPr>
        <w:t>第二十</w:t>
      </w:r>
      <w:r>
        <w:rPr>
          <w:rFonts w:hint="default" w:ascii="黑体" w:hAnsi="黑体" w:eastAsia="黑体" w:cs="宋体"/>
          <w:kern w:val="0"/>
          <w:sz w:val="32"/>
          <w:szCs w:val="32"/>
        </w:rPr>
        <w:t>五</w:t>
      </w:r>
      <w:r>
        <w:rPr>
          <w:rFonts w:hint="eastAsia" w:ascii="黑体" w:hAnsi="黑体" w:eastAsia="黑体" w:cs="宋体"/>
          <w:kern w:val="0"/>
          <w:sz w:val="32"/>
          <w:szCs w:val="32"/>
        </w:rPr>
        <w:t xml:space="preserve">条 </w:t>
      </w:r>
      <w:r>
        <w:rPr>
          <w:rFonts w:hint="eastAsia" w:ascii="仿宋_GB2312" w:hAnsi="宋体" w:eastAsia="仿宋_GB2312" w:cs="宋体"/>
          <w:kern w:val="0"/>
          <w:sz w:val="32"/>
          <w:szCs w:val="32"/>
        </w:rPr>
        <w:t>本办法自</w:t>
      </w:r>
      <w:r>
        <w:rPr>
          <w:rFonts w:hint="eastAsia" w:ascii="仿宋_GB2312" w:hAnsi="宋体" w:eastAsia="仿宋_GB2312" w:cs="宋体"/>
          <w:color w:val="auto"/>
          <w:kern w:val="0"/>
          <w:sz w:val="32"/>
          <w:szCs w:val="32"/>
          <w:highlight w:val="none"/>
          <w:lang w:val="en-US" w:eastAsia="zh-CN"/>
        </w:rPr>
        <w:t>2</w:t>
      </w:r>
      <w:r>
        <w:rPr>
          <w:rFonts w:hint="default" w:ascii="仿宋_GB2312" w:hAnsi="宋体" w:eastAsia="仿宋_GB2312" w:cs="宋体"/>
          <w:color w:val="auto"/>
          <w:kern w:val="0"/>
          <w:sz w:val="32"/>
          <w:szCs w:val="32"/>
          <w:highlight w:val="none"/>
          <w:lang w:val="en" w:eastAsia="zh-CN"/>
        </w:rPr>
        <w:t>023</w:t>
      </w:r>
      <w:r>
        <w:rPr>
          <w:rFonts w:hint="eastAsia" w:ascii="仿宋_GB2312" w:hAnsi="宋体" w:eastAsia="仿宋_GB2312" w:cs="宋体"/>
          <w:color w:val="auto"/>
          <w:kern w:val="0"/>
          <w:sz w:val="32"/>
          <w:szCs w:val="32"/>
          <w:highlight w:val="none"/>
          <w:lang w:val="en" w:eastAsia="zh-CN"/>
        </w:rPr>
        <w:t>年</w:t>
      </w:r>
      <w:r>
        <w:rPr>
          <w:rFonts w:hint="eastAsia" w:ascii="仿宋_GB2312" w:hAnsi="宋体" w:eastAsia="仿宋_GB2312" w:cs="宋体"/>
          <w:color w:val="auto"/>
          <w:kern w:val="0"/>
          <w:sz w:val="32"/>
          <w:szCs w:val="32"/>
          <w:highlight w:val="none"/>
          <w:lang w:val="en-US" w:eastAsia="zh-CN"/>
        </w:rPr>
        <w:t>4月7日</w:t>
      </w:r>
      <w:r>
        <w:rPr>
          <w:rFonts w:hint="eastAsia" w:ascii="仿宋_GB2312" w:hAnsi="宋体" w:eastAsia="仿宋_GB2312" w:cs="宋体"/>
          <w:kern w:val="0"/>
          <w:sz w:val="32"/>
          <w:szCs w:val="32"/>
        </w:rPr>
        <w:t>起施行。《农业相关转移支付资金绩效管理办法》（财农〔2019〕48号）与本办法不一致的，以本办法为准。</w:t>
      </w:r>
    </w:p>
    <w:sectPr>
      <w:footerReference r:id="rId3" w:type="default"/>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1A1"/>
    <w:rsid w:val="000014D9"/>
    <w:rsid w:val="0000487F"/>
    <w:rsid w:val="000111CB"/>
    <w:rsid w:val="00020FAC"/>
    <w:rsid w:val="000237A4"/>
    <w:rsid w:val="00091AB5"/>
    <w:rsid w:val="000A77DA"/>
    <w:rsid w:val="000B370B"/>
    <w:rsid w:val="000E378E"/>
    <w:rsid w:val="00102748"/>
    <w:rsid w:val="0011426B"/>
    <w:rsid w:val="00122C35"/>
    <w:rsid w:val="00140DE5"/>
    <w:rsid w:val="0017048B"/>
    <w:rsid w:val="00183F09"/>
    <w:rsid w:val="001A59E7"/>
    <w:rsid w:val="001A6E67"/>
    <w:rsid w:val="001A7468"/>
    <w:rsid w:val="001B512E"/>
    <w:rsid w:val="001C4CE4"/>
    <w:rsid w:val="001C6794"/>
    <w:rsid w:val="001D43CE"/>
    <w:rsid w:val="001E64D0"/>
    <w:rsid w:val="001F0C7D"/>
    <w:rsid w:val="00202265"/>
    <w:rsid w:val="002034AF"/>
    <w:rsid w:val="00225E60"/>
    <w:rsid w:val="00231ECC"/>
    <w:rsid w:val="00256BC2"/>
    <w:rsid w:val="00295479"/>
    <w:rsid w:val="002A3F1F"/>
    <w:rsid w:val="002D2136"/>
    <w:rsid w:val="002E08AE"/>
    <w:rsid w:val="002F348C"/>
    <w:rsid w:val="002F75D5"/>
    <w:rsid w:val="00317B23"/>
    <w:rsid w:val="003354CA"/>
    <w:rsid w:val="00336294"/>
    <w:rsid w:val="00337F92"/>
    <w:rsid w:val="0035609A"/>
    <w:rsid w:val="00357747"/>
    <w:rsid w:val="00372258"/>
    <w:rsid w:val="0039488E"/>
    <w:rsid w:val="003A2932"/>
    <w:rsid w:val="003A2FF3"/>
    <w:rsid w:val="003B12E2"/>
    <w:rsid w:val="003C3076"/>
    <w:rsid w:val="003D1842"/>
    <w:rsid w:val="003D2B06"/>
    <w:rsid w:val="003D3851"/>
    <w:rsid w:val="003F0586"/>
    <w:rsid w:val="004019DC"/>
    <w:rsid w:val="0040603D"/>
    <w:rsid w:val="00411AA3"/>
    <w:rsid w:val="00412B60"/>
    <w:rsid w:val="00422652"/>
    <w:rsid w:val="00466208"/>
    <w:rsid w:val="00470AEB"/>
    <w:rsid w:val="004A1D88"/>
    <w:rsid w:val="004B0E76"/>
    <w:rsid w:val="004B4460"/>
    <w:rsid w:val="004C6DCF"/>
    <w:rsid w:val="004D6607"/>
    <w:rsid w:val="004F298C"/>
    <w:rsid w:val="00505656"/>
    <w:rsid w:val="005543CB"/>
    <w:rsid w:val="005620F0"/>
    <w:rsid w:val="00562D0C"/>
    <w:rsid w:val="00566B15"/>
    <w:rsid w:val="00571A9E"/>
    <w:rsid w:val="005744F0"/>
    <w:rsid w:val="00590880"/>
    <w:rsid w:val="00592773"/>
    <w:rsid w:val="005B0847"/>
    <w:rsid w:val="005B745C"/>
    <w:rsid w:val="005C6DB0"/>
    <w:rsid w:val="005E0AFF"/>
    <w:rsid w:val="005E48DA"/>
    <w:rsid w:val="005F1206"/>
    <w:rsid w:val="005F5D21"/>
    <w:rsid w:val="00612BF5"/>
    <w:rsid w:val="00631A0C"/>
    <w:rsid w:val="00641D8A"/>
    <w:rsid w:val="006A0C6C"/>
    <w:rsid w:val="006A5D5E"/>
    <w:rsid w:val="006B78DB"/>
    <w:rsid w:val="006F00F0"/>
    <w:rsid w:val="006F12A8"/>
    <w:rsid w:val="00735EC6"/>
    <w:rsid w:val="00741793"/>
    <w:rsid w:val="0074658F"/>
    <w:rsid w:val="007626C1"/>
    <w:rsid w:val="007A75A1"/>
    <w:rsid w:val="007B3F05"/>
    <w:rsid w:val="007D1C8E"/>
    <w:rsid w:val="008010AF"/>
    <w:rsid w:val="00807FD2"/>
    <w:rsid w:val="008311CF"/>
    <w:rsid w:val="008319C6"/>
    <w:rsid w:val="00854B57"/>
    <w:rsid w:val="008B4501"/>
    <w:rsid w:val="008B564C"/>
    <w:rsid w:val="008C0DCE"/>
    <w:rsid w:val="008D7B91"/>
    <w:rsid w:val="008F2E6D"/>
    <w:rsid w:val="009401AA"/>
    <w:rsid w:val="00952B01"/>
    <w:rsid w:val="00980DAB"/>
    <w:rsid w:val="0098258E"/>
    <w:rsid w:val="00992580"/>
    <w:rsid w:val="009A05DB"/>
    <w:rsid w:val="00A45337"/>
    <w:rsid w:val="00A60E3E"/>
    <w:rsid w:val="00AB1CBA"/>
    <w:rsid w:val="00AC1C35"/>
    <w:rsid w:val="00AC45F8"/>
    <w:rsid w:val="00AD7731"/>
    <w:rsid w:val="00AE017C"/>
    <w:rsid w:val="00AE0CC9"/>
    <w:rsid w:val="00B0457E"/>
    <w:rsid w:val="00B063A0"/>
    <w:rsid w:val="00B1388F"/>
    <w:rsid w:val="00B15689"/>
    <w:rsid w:val="00B22F24"/>
    <w:rsid w:val="00B361DE"/>
    <w:rsid w:val="00BB06AD"/>
    <w:rsid w:val="00BE1147"/>
    <w:rsid w:val="00C067E1"/>
    <w:rsid w:val="00C250FC"/>
    <w:rsid w:val="00C3457B"/>
    <w:rsid w:val="00C77789"/>
    <w:rsid w:val="00C87FD4"/>
    <w:rsid w:val="00C9015A"/>
    <w:rsid w:val="00C90BA0"/>
    <w:rsid w:val="00CC3A6D"/>
    <w:rsid w:val="00CE3E81"/>
    <w:rsid w:val="00D06E4C"/>
    <w:rsid w:val="00D11B21"/>
    <w:rsid w:val="00D234F9"/>
    <w:rsid w:val="00D45B4E"/>
    <w:rsid w:val="00D45D46"/>
    <w:rsid w:val="00D6142C"/>
    <w:rsid w:val="00D80541"/>
    <w:rsid w:val="00D83B2E"/>
    <w:rsid w:val="00D96738"/>
    <w:rsid w:val="00DB375A"/>
    <w:rsid w:val="00DC34FD"/>
    <w:rsid w:val="00DD1DDB"/>
    <w:rsid w:val="00DE13B4"/>
    <w:rsid w:val="00E377FB"/>
    <w:rsid w:val="00E470CF"/>
    <w:rsid w:val="00E8055F"/>
    <w:rsid w:val="00E84096"/>
    <w:rsid w:val="00E9386A"/>
    <w:rsid w:val="00EB7D84"/>
    <w:rsid w:val="00F05D94"/>
    <w:rsid w:val="00F06D56"/>
    <w:rsid w:val="00F10CCD"/>
    <w:rsid w:val="00F12525"/>
    <w:rsid w:val="00F12DE2"/>
    <w:rsid w:val="00F5065E"/>
    <w:rsid w:val="00F55A46"/>
    <w:rsid w:val="00F62FAC"/>
    <w:rsid w:val="00F66321"/>
    <w:rsid w:val="00F80F5D"/>
    <w:rsid w:val="00FD11A1"/>
    <w:rsid w:val="00FE12C6"/>
    <w:rsid w:val="00FE74FD"/>
    <w:rsid w:val="1BD141CE"/>
    <w:rsid w:val="1BFEF275"/>
    <w:rsid w:val="1DF51988"/>
    <w:rsid w:val="1EFE267E"/>
    <w:rsid w:val="2BC6F3FA"/>
    <w:rsid w:val="2EEFDFDF"/>
    <w:rsid w:val="32DBAEF9"/>
    <w:rsid w:val="377C31B8"/>
    <w:rsid w:val="3B2918C9"/>
    <w:rsid w:val="3F5D3FE9"/>
    <w:rsid w:val="3FB696EB"/>
    <w:rsid w:val="3FFB1E5B"/>
    <w:rsid w:val="4DF38A7A"/>
    <w:rsid w:val="4F7FF130"/>
    <w:rsid w:val="5BF24ABE"/>
    <w:rsid w:val="5D7E30D6"/>
    <w:rsid w:val="5DFF2AE7"/>
    <w:rsid w:val="5DFF7690"/>
    <w:rsid w:val="5E1A6891"/>
    <w:rsid w:val="5EF53C9F"/>
    <w:rsid w:val="5F7D945A"/>
    <w:rsid w:val="5FD6B44E"/>
    <w:rsid w:val="61DEBA11"/>
    <w:rsid w:val="67FDB20F"/>
    <w:rsid w:val="699AF5D2"/>
    <w:rsid w:val="6AFF2387"/>
    <w:rsid w:val="6CB54910"/>
    <w:rsid w:val="6DF44D03"/>
    <w:rsid w:val="6ECF448A"/>
    <w:rsid w:val="76E897A5"/>
    <w:rsid w:val="777F62F5"/>
    <w:rsid w:val="77BB368E"/>
    <w:rsid w:val="77BD3F51"/>
    <w:rsid w:val="7B7BF912"/>
    <w:rsid w:val="7DBE2433"/>
    <w:rsid w:val="7DBF8B25"/>
    <w:rsid w:val="7DD7E373"/>
    <w:rsid w:val="7DFF04B2"/>
    <w:rsid w:val="7E7773BA"/>
    <w:rsid w:val="7EAFC790"/>
    <w:rsid w:val="7F6F2CDC"/>
    <w:rsid w:val="7F7BDECF"/>
    <w:rsid w:val="7F7F2D8E"/>
    <w:rsid w:val="7FB7F986"/>
    <w:rsid w:val="7FEEE0A7"/>
    <w:rsid w:val="7FF6ABDE"/>
    <w:rsid w:val="7FF90DD8"/>
    <w:rsid w:val="7FFB8576"/>
    <w:rsid w:val="97EFA5BB"/>
    <w:rsid w:val="9FAD6F43"/>
    <w:rsid w:val="BC9A8C58"/>
    <w:rsid w:val="CF8F951C"/>
    <w:rsid w:val="CFFB87F3"/>
    <w:rsid w:val="D7E79E50"/>
    <w:rsid w:val="DDEE148F"/>
    <w:rsid w:val="DF3F478C"/>
    <w:rsid w:val="DF9FE5C4"/>
    <w:rsid w:val="DFFEB24C"/>
    <w:rsid w:val="EABE1192"/>
    <w:rsid w:val="EAFF5E50"/>
    <w:rsid w:val="EBAB545E"/>
    <w:rsid w:val="EBFAD575"/>
    <w:rsid w:val="EE798301"/>
    <w:rsid w:val="EEE7F7CD"/>
    <w:rsid w:val="EEEF23AE"/>
    <w:rsid w:val="EFBB312F"/>
    <w:rsid w:val="EFFDC8AA"/>
    <w:rsid w:val="F6CF44C2"/>
    <w:rsid w:val="F6FB1029"/>
    <w:rsid w:val="F7B770F3"/>
    <w:rsid w:val="F7F7697A"/>
    <w:rsid w:val="F7FF2587"/>
    <w:rsid w:val="F8B69EE9"/>
    <w:rsid w:val="FAEA9E6A"/>
    <w:rsid w:val="FAF94D83"/>
    <w:rsid w:val="FBDF8D9A"/>
    <w:rsid w:val="FD9F4153"/>
    <w:rsid w:val="FDEE31A6"/>
    <w:rsid w:val="FDFF0D08"/>
    <w:rsid w:val="FE3FA1E1"/>
    <w:rsid w:val="FED39FB1"/>
    <w:rsid w:val="FF3F5801"/>
    <w:rsid w:val="FF6067B8"/>
    <w:rsid w:val="FF773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2"/>
    <w:basedOn w:val="4"/>
    <w:unhideWhenUsed/>
    <w:qFormat/>
    <w:uiPriority w:val="99"/>
    <w:pPr>
      <w:ind w:firstLine="420" w:firstLineChars="200"/>
    </w:pPr>
  </w:style>
  <w:style w:type="paragraph" w:styleId="4">
    <w:name w:val="Body Text Indent"/>
    <w:basedOn w:val="1"/>
    <w:qFormat/>
    <w:uiPriority w:val="0"/>
    <w:pPr>
      <w:ind w:left="1596" w:hanging="969"/>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34"/>
    <w:pPr>
      <w:ind w:firstLine="420" w:firstLineChars="200"/>
    </w:pPr>
  </w:style>
  <w:style w:type="character" w:customStyle="1" w:styleId="10">
    <w:name w:val="NormalCharacter"/>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584</Words>
  <Characters>3330</Characters>
  <Lines>27</Lines>
  <Paragraphs>7</Paragraphs>
  <TotalTime>0</TotalTime>
  <ScaleCrop>false</ScaleCrop>
  <LinksUpToDate>false</LinksUpToDate>
  <CharactersWithSpaces>3907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2022-12-12T00:46:00Z</dcterms:created>
  <dc:creator>Yiqing Hu</dc:creator>
  <cp:lastModifiedBy>zhuxin</cp:lastModifiedBy>
  <cp:lastPrinted>2023-04-14T15:38:49Z</cp:lastPrinted>
  <dcterms:modified xsi:type="dcterms:W3CDTF">2023-04-14T16:18:54Z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