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spacing w:line="600" w:lineRule="exact"/>
        <w:jc w:val="left"/>
        <w:textAlignment w:val="auto"/>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附件6</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农业经营主体能力提升资金分配测算方法及标准</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宋体" w:hAnsi="宋体" w:cs="宋体"/>
          <w:kern w:val="0"/>
          <w:sz w:val="30"/>
          <w:szCs w:val="30"/>
        </w:rPr>
      </w:pPr>
      <w:r>
        <w:rPr>
          <w:rFonts w:cs="Calibri"/>
          <w:kern w:val="0"/>
          <w:sz w:val="30"/>
          <w:szCs w:val="30"/>
        </w:rPr>
        <w:t>             </w:t>
      </w:r>
      <w:r>
        <w:rPr>
          <w:rFonts w:hint="eastAsia" w:ascii="宋体" w:hAnsi="宋体" w:cs="宋体"/>
          <w:b/>
          <w:bCs/>
          <w:kern w:val="0"/>
          <w:sz w:val="30"/>
          <w:szCs w:val="30"/>
        </w:rPr>
        <w:t> </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kern w:val="0"/>
          <w:sz w:val="32"/>
          <w:szCs w:val="32"/>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lang w:eastAsia="zh-CN"/>
        </w:rPr>
        <w:t>新型农业经营主体培育支出</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主要根据基础</w:t>
      </w:r>
      <w:r>
        <w:rPr>
          <w:rFonts w:hint="eastAsia" w:ascii="仿宋_GB2312" w:hAnsi="仿宋_GB2312" w:eastAsia="仿宋_GB2312" w:cs="仿宋_GB2312"/>
          <w:kern w:val="0"/>
          <w:sz w:val="32"/>
          <w:szCs w:val="32"/>
          <w:lang w:eastAsia="zh-CN"/>
        </w:rPr>
        <w:t>因素</w:t>
      </w:r>
      <w:r>
        <w:rPr>
          <w:rFonts w:hint="eastAsia" w:ascii="仿宋_GB2312" w:hAnsi="仿宋_GB2312" w:eastAsia="仿宋_GB2312" w:cs="仿宋_GB2312"/>
          <w:kern w:val="0"/>
          <w:sz w:val="32"/>
          <w:szCs w:val="32"/>
        </w:rPr>
        <w:t>（40%）、任务</w:t>
      </w:r>
      <w:r>
        <w:rPr>
          <w:rFonts w:hint="eastAsia" w:ascii="仿宋_GB2312" w:hAnsi="仿宋_GB2312" w:eastAsia="仿宋_GB2312" w:cs="仿宋_GB2312"/>
          <w:kern w:val="0"/>
          <w:sz w:val="32"/>
          <w:szCs w:val="32"/>
          <w:lang w:eastAsia="zh-CN"/>
        </w:rPr>
        <w:t>因素</w:t>
      </w:r>
      <w:r>
        <w:rPr>
          <w:rFonts w:hint="eastAsia" w:ascii="仿宋_GB2312" w:hAnsi="仿宋_GB2312" w:eastAsia="仿宋_GB2312" w:cs="仿宋_GB2312"/>
          <w:kern w:val="0"/>
          <w:sz w:val="32"/>
          <w:szCs w:val="32"/>
        </w:rPr>
        <w:t>（55%）、脱贫地区</w:t>
      </w:r>
      <w:r>
        <w:rPr>
          <w:rFonts w:hint="eastAsia" w:ascii="仿宋_GB2312" w:hAnsi="仿宋_GB2312" w:eastAsia="仿宋_GB2312" w:cs="仿宋_GB2312"/>
          <w:kern w:val="0"/>
          <w:sz w:val="32"/>
          <w:szCs w:val="32"/>
          <w:lang w:eastAsia="zh-CN"/>
        </w:rPr>
        <w:t>因素</w:t>
      </w:r>
      <w:r>
        <w:rPr>
          <w:rFonts w:hint="eastAsia" w:ascii="仿宋_GB2312" w:hAnsi="仿宋_GB2312" w:eastAsia="仿宋_GB2312" w:cs="仿宋_GB2312"/>
          <w:kern w:val="0"/>
          <w:sz w:val="32"/>
          <w:szCs w:val="32"/>
        </w:rPr>
        <w:t>（5%）测算。其中基础因素包括粮食产量、农作物播种面积、农林牧渔业产值等；任务因素包括新型农业经营主体数量等。</w:t>
      </w: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eastAsia" w:ascii="仿宋_GB2312" w:hAnsi="宋体" w:eastAsia="仿宋_GB2312" w:cs="宋体"/>
          <w:color w:val="auto"/>
          <w:kern w:val="0"/>
          <w:sz w:val="32"/>
          <w:szCs w:val="32"/>
          <w:highlight w:val="none"/>
          <w:lang w:eastAsia="zh-CN"/>
        </w:rPr>
      </w:pPr>
      <w:r>
        <w:rPr>
          <w:rFonts w:hint="eastAsia" w:ascii="仿宋_GB2312" w:hAnsi="仿宋_GB2312" w:eastAsia="仿宋_GB2312" w:cs="仿宋_GB2312"/>
          <w:b/>
          <w:bCs/>
          <w:kern w:val="0"/>
          <w:sz w:val="32"/>
          <w:szCs w:val="32"/>
        </w:rPr>
        <w:t>计算方法：</w:t>
      </w:r>
      <w:r>
        <w:rPr>
          <w:rFonts w:hint="eastAsia" w:ascii="仿宋_GB2312" w:hAnsi="仿宋_GB2312" w:eastAsia="仿宋_GB2312" w:cs="仿宋_GB2312"/>
          <w:b/>
          <w:bCs/>
          <w:kern w:val="0"/>
          <w:sz w:val="32"/>
          <w:szCs w:val="32"/>
          <w:lang w:val="en"/>
        </w:rPr>
        <w:t>补助经费</w:t>
      </w:r>
      <w:r>
        <w:rPr>
          <w:rFonts w:hint="eastAsia" w:ascii="仿宋_GB2312" w:hAnsi="仿宋_GB2312" w:eastAsia="仿宋_GB2312" w:cs="仿宋_GB2312"/>
          <w:b w:val="0"/>
          <w:bCs w:val="0"/>
          <w:kern w:val="0"/>
          <w:sz w:val="32"/>
          <w:szCs w:val="32"/>
          <w:lang w:val="en"/>
        </w:rPr>
        <w:t>=</w:t>
      </w:r>
      <w:r>
        <w:rPr>
          <w:rFonts w:hint="eastAsia" w:ascii="仿宋_GB2312" w:hAnsi="仿宋_GB2312" w:eastAsia="仿宋_GB2312" w:cs="仿宋_GB2312"/>
          <w:kern w:val="0"/>
          <w:sz w:val="32"/>
          <w:szCs w:val="32"/>
        </w:rPr>
        <w:t>新型农业经营主体培育支出</w:t>
      </w:r>
      <w:r>
        <w:rPr>
          <w:rFonts w:hint="eastAsia" w:ascii="仿宋_GB2312" w:hAnsi="仿宋_GB2312" w:eastAsia="仿宋_GB2312" w:cs="仿宋_GB2312"/>
          <w:color w:val="auto"/>
          <w:kern w:val="0"/>
          <w:sz w:val="32"/>
          <w:szCs w:val="32"/>
          <w:highlight w:val="none"/>
          <w:lang w:val="en"/>
        </w:rPr>
        <w:t>资金规模×（</w:t>
      </w:r>
      <w:r>
        <w:rPr>
          <w:rFonts w:hint="eastAsia" w:ascii="仿宋_GB2312" w:hAnsi="仿宋_GB2312" w:eastAsia="仿宋_GB2312" w:cs="仿宋_GB2312"/>
          <w:color w:val="auto"/>
          <w:kern w:val="0"/>
          <w:sz w:val="32"/>
          <w:szCs w:val="32"/>
          <w:highlight w:val="none"/>
        </w:rPr>
        <w:t>基础因素×40%+任务因素×55%+</w:t>
      </w:r>
      <w:r>
        <w:rPr>
          <w:rFonts w:hint="eastAsia" w:ascii="仿宋_GB2312" w:hAnsi="仿宋_GB2312" w:eastAsia="仿宋_GB2312" w:cs="仿宋_GB2312"/>
          <w:color w:val="auto"/>
          <w:kern w:val="0"/>
          <w:sz w:val="32"/>
          <w:szCs w:val="32"/>
          <w:highlight w:val="none"/>
          <w:lang w:eastAsia="zh-CN"/>
        </w:rPr>
        <w:t>脱贫地区因素</w:t>
      </w:r>
      <w:r>
        <w:rPr>
          <w:rFonts w:hint="eastAsia"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eastAsia" w:ascii="仿宋_GB2312" w:hAnsi="宋体" w:eastAsia="仿宋_GB2312" w:cs="宋体"/>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kern w:val="0"/>
          <w:sz w:val="32"/>
          <w:szCs w:val="32"/>
          <w:lang w:eastAsia="zh-CN"/>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rPr>
        <w:t>农业社会化服务</w:t>
      </w:r>
      <w:r>
        <w:rPr>
          <w:rFonts w:hint="eastAsia" w:ascii="仿宋_GB2312" w:hAnsi="仿宋_GB2312" w:eastAsia="仿宋_GB2312" w:cs="仿宋_GB2312"/>
          <w:b/>
          <w:bCs/>
          <w:kern w:val="0"/>
          <w:sz w:val="32"/>
          <w:szCs w:val="32"/>
          <w:lang w:eastAsia="zh-CN"/>
        </w:rPr>
        <w:t>支出</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color w:val="auto"/>
          <w:kern w:val="0"/>
          <w:sz w:val="32"/>
          <w:szCs w:val="32"/>
          <w:highlight w:val="none"/>
        </w:rPr>
        <w:t>主要采用因素法</w:t>
      </w:r>
      <w:r>
        <w:rPr>
          <w:rFonts w:hint="eastAsia" w:ascii="仿宋_GB2312" w:hAnsi="仿宋_GB2312" w:eastAsia="仿宋_GB2312" w:cs="仿宋_GB2312"/>
          <w:color w:val="auto"/>
          <w:kern w:val="0"/>
          <w:sz w:val="32"/>
          <w:szCs w:val="32"/>
          <w:highlight w:val="none"/>
          <w:lang w:eastAsia="zh-CN"/>
        </w:rPr>
        <w:t>和定额</w:t>
      </w:r>
      <w:r>
        <w:rPr>
          <w:rFonts w:hint="eastAsia" w:ascii="仿宋_GB2312" w:hAnsi="仿宋_GB2312" w:eastAsia="仿宋_GB2312" w:cs="仿宋_GB2312"/>
          <w:color w:val="auto"/>
          <w:kern w:val="0"/>
          <w:sz w:val="32"/>
          <w:szCs w:val="32"/>
          <w:highlight w:val="none"/>
        </w:rPr>
        <w:t>测算分配，包括基础因素（</w:t>
      </w:r>
      <w:r>
        <w:rPr>
          <w:rFonts w:hint="eastAsia" w:ascii="仿宋_GB2312" w:hAnsi="仿宋_GB2312" w:eastAsia="仿宋_GB2312" w:cs="仿宋_GB2312"/>
          <w:color w:val="auto"/>
          <w:kern w:val="0"/>
          <w:sz w:val="32"/>
          <w:szCs w:val="32"/>
          <w:highlight w:val="none"/>
          <w:lang w:val="en-US" w:eastAsia="zh-CN"/>
        </w:rPr>
        <w:t>40</w:t>
      </w:r>
      <w:r>
        <w:rPr>
          <w:rFonts w:hint="eastAsia" w:ascii="仿宋_GB2312" w:hAnsi="仿宋_GB2312" w:eastAsia="仿宋_GB2312" w:cs="仿宋_GB2312"/>
          <w:color w:val="auto"/>
          <w:kern w:val="0"/>
          <w:sz w:val="32"/>
          <w:szCs w:val="32"/>
          <w:highlight w:val="none"/>
        </w:rPr>
        <w:t>%）、任务因素（</w:t>
      </w:r>
      <w:r>
        <w:rPr>
          <w:rFonts w:hint="eastAsia" w:ascii="仿宋_GB2312" w:hAnsi="仿宋_GB2312" w:eastAsia="仿宋_GB2312" w:cs="仿宋_GB2312"/>
          <w:color w:val="auto"/>
          <w:kern w:val="0"/>
          <w:sz w:val="32"/>
          <w:szCs w:val="32"/>
          <w:highlight w:val="none"/>
          <w:lang w:val="en-US" w:eastAsia="zh-CN"/>
        </w:rPr>
        <w:t>55</w:t>
      </w:r>
      <w:r>
        <w:rPr>
          <w:rFonts w:hint="eastAsia" w:ascii="仿宋_GB2312" w:hAnsi="仿宋_GB2312" w:eastAsia="仿宋_GB2312" w:cs="仿宋_GB2312"/>
          <w:color w:val="auto"/>
          <w:kern w:val="0"/>
          <w:sz w:val="32"/>
          <w:szCs w:val="32"/>
          <w:highlight w:val="none"/>
        </w:rPr>
        <w:t>%）、脱贫地区因素（5%）。其中基础因素包括粮食播种面积、油料播种面积、棉花播种面积、甘蔗播种面积等，任务因素包括年度托管面积等</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lang w:eastAsia="zh-CN"/>
        </w:rPr>
        <w:t>可以根据粮食产量、绩效评价结果、预算执行情况、资金使用管理监督情况等因素进行适当调节。对党中央、国务院部署的特定事项、试点任务，实行定额补助。</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kern w:val="0"/>
          <w:sz w:val="32"/>
          <w:szCs w:val="32"/>
          <w:highlight w:val="none"/>
        </w:rPr>
        <w:t>计算方法：</w:t>
      </w:r>
      <w:r>
        <w:rPr>
          <w:rFonts w:hint="eastAsia" w:ascii="仿宋_GB2312" w:hAnsi="仿宋_GB2312" w:eastAsia="仿宋_GB2312" w:cs="仿宋_GB2312"/>
          <w:b/>
          <w:bCs/>
          <w:color w:val="auto"/>
          <w:kern w:val="0"/>
          <w:sz w:val="32"/>
          <w:szCs w:val="32"/>
          <w:highlight w:val="none"/>
          <w:lang w:val="en"/>
        </w:rPr>
        <w:t>补助经费</w:t>
      </w:r>
      <w:r>
        <w:rPr>
          <w:rFonts w:hint="eastAsia" w:ascii="仿宋_GB2312" w:hAnsi="仿宋_GB2312" w:eastAsia="仿宋_GB2312" w:cs="仿宋_GB2312"/>
          <w:b w:val="0"/>
          <w:bCs w:val="0"/>
          <w:color w:val="auto"/>
          <w:kern w:val="0"/>
          <w:sz w:val="32"/>
          <w:szCs w:val="32"/>
          <w:highlight w:val="none"/>
          <w:lang w:val="en"/>
        </w:rPr>
        <w:t>=</w:t>
      </w:r>
      <w:r>
        <w:rPr>
          <w:rFonts w:hint="eastAsia" w:ascii="仿宋_GB2312" w:hAnsi="仿宋_GB2312" w:eastAsia="仿宋_GB2312" w:cs="仿宋_GB2312"/>
          <w:color w:val="auto"/>
          <w:kern w:val="0"/>
          <w:sz w:val="32"/>
          <w:szCs w:val="32"/>
          <w:highlight w:val="none"/>
          <w:lang w:val="en" w:eastAsia="zh-CN"/>
        </w:rPr>
        <w:t>农业社会化服务支出</w:t>
      </w:r>
      <w:r>
        <w:rPr>
          <w:rFonts w:hint="eastAsia" w:ascii="仿宋_GB2312" w:hAnsi="仿宋_GB2312" w:eastAsia="仿宋_GB2312" w:cs="仿宋_GB2312"/>
          <w:color w:val="auto"/>
          <w:kern w:val="0"/>
          <w:sz w:val="32"/>
          <w:szCs w:val="32"/>
          <w:highlight w:val="none"/>
          <w:lang w:val="en"/>
        </w:rPr>
        <w:t>资金规模×（基础因素×</w:t>
      </w:r>
      <w:r>
        <w:rPr>
          <w:rFonts w:hint="eastAsia" w:ascii="仿宋_GB2312" w:hAnsi="仿宋_GB2312" w:eastAsia="仿宋_GB2312" w:cs="仿宋_GB2312"/>
          <w:color w:val="auto"/>
          <w:kern w:val="0"/>
          <w:sz w:val="32"/>
          <w:szCs w:val="32"/>
          <w:highlight w:val="none"/>
          <w:lang w:val="en-US" w:eastAsia="zh-CN"/>
        </w:rPr>
        <w:t>40</w:t>
      </w:r>
      <w:r>
        <w:rPr>
          <w:rFonts w:hint="eastAsia" w:ascii="仿宋_GB2312" w:hAnsi="仿宋_GB2312" w:eastAsia="仿宋_GB2312" w:cs="仿宋_GB2312"/>
          <w:color w:val="auto"/>
          <w:kern w:val="0"/>
          <w:sz w:val="32"/>
          <w:szCs w:val="32"/>
          <w:highlight w:val="none"/>
          <w:lang w:val="en"/>
        </w:rPr>
        <w:t>%+任务因素×</w:t>
      </w:r>
      <w:r>
        <w:rPr>
          <w:rFonts w:hint="eastAsia" w:ascii="仿宋_GB2312" w:hAnsi="仿宋_GB2312" w:eastAsia="仿宋_GB2312" w:cs="仿宋_GB2312"/>
          <w:color w:val="auto"/>
          <w:kern w:val="0"/>
          <w:sz w:val="32"/>
          <w:szCs w:val="32"/>
          <w:highlight w:val="none"/>
          <w:lang w:val="en-US" w:eastAsia="zh-CN"/>
        </w:rPr>
        <w:t>55</w:t>
      </w:r>
      <w:r>
        <w:rPr>
          <w:rFonts w:hint="eastAsia" w:ascii="仿宋_GB2312" w:hAnsi="仿宋_GB2312" w:eastAsia="仿宋_GB2312" w:cs="仿宋_GB2312"/>
          <w:color w:val="auto"/>
          <w:kern w:val="0"/>
          <w:sz w:val="32"/>
          <w:szCs w:val="32"/>
          <w:highlight w:val="none"/>
          <w:lang w:val="en"/>
        </w:rPr>
        <w:t>%+脱贫地区因素×5%）</w:t>
      </w: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eastAsia" w:ascii="仿宋_GB2312" w:hAnsi="宋体" w:eastAsia="仿宋_GB2312" w:cs="宋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rPr>
        <w:t>高素质农民培育</w:t>
      </w:r>
      <w:r>
        <w:rPr>
          <w:rFonts w:hint="eastAsia" w:ascii="仿宋_GB2312" w:hAnsi="仿宋_GB2312" w:eastAsia="仿宋_GB2312" w:cs="仿宋_GB2312"/>
          <w:b/>
          <w:bCs/>
          <w:kern w:val="0"/>
          <w:sz w:val="32"/>
          <w:szCs w:val="32"/>
          <w:lang w:eastAsia="zh-CN"/>
        </w:rPr>
        <w:t>支出</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主要根据基础因素（40%）、任务因素（55%）、脱贫地区因素（5%）测算。其中基础因素包括粮食产量、农林牧渔业产值等；任务因素包括农民培训数量等。乡村产业振兴带头人培育“头雁”项目根据各省承担的“头雁”培训任务量，按照相应补贴标准实施定额补助。</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b/>
          <w:bCs/>
          <w:kern w:val="0"/>
          <w:sz w:val="32"/>
          <w:szCs w:val="32"/>
        </w:rPr>
        <w:t>计算方法：</w:t>
      </w:r>
      <w:r>
        <w:rPr>
          <w:rFonts w:hint="eastAsia" w:ascii="仿宋_GB2312" w:hAnsi="仿宋_GB2312" w:eastAsia="仿宋_GB2312" w:cs="仿宋_GB2312"/>
          <w:b/>
          <w:bCs/>
          <w:kern w:val="0"/>
          <w:sz w:val="32"/>
          <w:szCs w:val="32"/>
          <w:lang w:val="en"/>
        </w:rPr>
        <w:t>补助经费</w:t>
      </w:r>
      <w:r>
        <w:rPr>
          <w:rFonts w:hint="eastAsia" w:ascii="仿宋_GB2312" w:hAnsi="仿宋_GB2312" w:eastAsia="仿宋_GB2312" w:cs="仿宋_GB2312"/>
          <w:b w:val="0"/>
          <w:bCs w:val="0"/>
          <w:kern w:val="0"/>
          <w:sz w:val="32"/>
          <w:szCs w:val="32"/>
          <w:lang w:val="en"/>
        </w:rPr>
        <w:t>=</w:t>
      </w:r>
      <w:r>
        <w:rPr>
          <w:rFonts w:hint="eastAsia" w:ascii="仿宋_GB2312" w:hAnsi="仿宋_GB2312" w:eastAsia="仿宋_GB2312" w:cs="仿宋_GB2312"/>
          <w:kern w:val="0"/>
          <w:sz w:val="32"/>
          <w:szCs w:val="32"/>
        </w:rPr>
        <w:t>高素质农民培育支出资金规模×（</w:t>
      </w:r>
      <w:r>
        <w:rPr>
          <w:rFonts w:hint="eastAsia" w:ascii="仿宋_GB2312" w:hAnsi="仿宋_GB2312" w:eastAsia="仿宋_GB2312" w:cs="仿宋_GB2312"/>
          <w:color w:val="auto"/>
          <w:kern w:val="0"/>
          <w:sz w:val="32"/>
          <w:szCs w:val="32"/>
          <w:highlight w:val="none"/>
        </w:rPr>
        <w:t>基础因素×40%+任务因素×55%+</w:t>
      </w:r>
      <w:r>
        <w:rPr>
          <w:rFonts w:hint="eastAsia" w:ascii="仿宋_GB2312" w:hAnsi="仿宋_GB2312" w:eastAsia="仿宋_GB2312" w:cs="仿宋_GB2312"/>
          <w:color w:val="auto"/>
          <w:kern w:val="0"/>
          <w:sz w:val="32"/>
          <w:szCs w:val="32"/>
          <w:highlight w:val="none"/>
          <w:lang w:eastAsia="zh-CN"/>
        </w:rPr>
        <w:t>脱贫地区因素</w:t>
      </w:r>
      <w:r>
        <w:rPr>
          <w:rFonts w:hint="eastAsia" w:ascii="仿宋_GB2312" w:hAnsi="仿宋_GB2312" w:eastAsia="仿宋_GB2312" w:cs="仿宋_GB2312"/>
          <w:color w:val="auto"/>
          <w:kern w:val="0"/>
          <w:sz w:val="32"/>
          <w:szCs w:val="32"/>
          <w:highlight w:val="none"/>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highlight w:val="none"/>
        </w:rPr>
        <w:t>“头雁”项目培育人数×</w:t>
      </w:r>
      <w:r>
        <w:rPr>
          <w:rFonts w:hint="eastAsia" w:ascii="仿宋_GB2312" w:hAnsi="仿宋_GB2312" w:eastAsia="仿宋_GB2312" w:cs="仿宋_GB2312"/>
          <w:kern w:val="0"/>
          <w:sz w:val="32"/>
          <w:szCs w:val="32"/>
        </w:rPr>
        <w:t>相应</w:t>
      </w:r>
      <w:r>
        <w:rPr>
          <w:rFonts w:hint="eastAsia" w:ascii="仿宋_GB2312" w:hAnsi="仿宋_GB2312" w:eastAsia="仿宋_GB2312" w:cs="仿宋_GB2312"/>
          <w:kern w:val="0"/>
          <w:sz w:val="32"/>
          <w:szCs w:val="32"/>
          <w:lang w:eastAsia="zh-CN"/>
        </w:rPr>
        <w:t>补贴标准</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方正仿宋_GBK" w:hAnsi="方正仿宋_GBK" w:eastAsia="方正仿宋_GBK" w:cs="方正仿宋_GBK"/>
          <w:b/>
          <w:bCs/>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rPr>
        <w:t>基层农技推广体系改革与建设</w:t>
      </w:r>
      <w:r>
        <w:rPr>
          <w:rFonts w:hint="eastAsia" w:ascii="仿宋_GB2312" w:hAnsi="仿宋_GB2312" w:eastAsia="仿宋_GB2312" w:cs="仿宋_GB2312"/>
          <w:b/>
          <w:bCs/>
          <w:kern w:val="0"/>
          <w:sz w:val="32"/>
          <w:szCs w:val="32"/>
          <w:lang w:eastAsia="zh-CN"/>
        </w:rPr>
        <w:t>支出</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主要根据基础因素（40%）、任务因素（55%）、脱贫地区因素（5%）测算。</w:t>
      </w:r>
      <w:r>
        <w:rPr>
          <w:rFonts w:hint="eastAsia" w:ascii="仿宋_GB2312" w:hAnsi="仿宋_GB2312" w:eastAsia="仿宋_GB2312" w:cs="仿宋_GB2312"/>
          <w:color w:val="auto"/>
          <w:kern w:val="0"/>
          <w:sz w:val="32"/>
          <w:szCs w:val="32"/>
          <w:highlight w:val="none"/>
        </w:rPr>
        <w:t>其中基础因素包括粮食产量、农作物播种面积、农林牧渔业产值等；任务因素包括基层农技推广体系改革与建设项目</w:t>
      </w:r>
      <w:r>
        <w:rPr>
          <w:rFonts w:hint="eastAsia" w:ascii="仿宋_GB2312" w:hAnsi="仿宋_GB2312" w:eastAsia="仿宋_GB2312" w:cs="仿宋_GB2312"/>
          <w:color w:val="auto"/>
          <w:kern w:val="0"/>
          <w:sz w:val="32"/>
          <w:szCs w:val="32"/>
          <w:highlight w:val="none"/>
          <w:lang w:eastAsia="zh-CN"/>
        </w:rPr>
        <w:t>任务</w:t>
      </w:r>
      <w:r>
        <w:rPr>
          <w:rFonts w:hint="eastAsia" w:ascii="仿宋_GB2312" w:hAnsi="仿宋_GB2312" w:eastAsia="仿宋_GB2312" w:cs="仿宋_GB2312"/>
          <w:color w:val="auto"/>
          <w:kern w:val="0"/>
          <w:sz w:val="32"/>
          <w:szCs w:val="32"/>
          <w:highlight w:val="none"/>
        </w:rPr>
        <w:t>县数量等。</w:t>
      </w: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bCs/>
          <w:kern w:val="0"/>
          <w:sz w:val="32"/>
          <w:szCs w:val="32"/>
        </w:rPr>
        <w:t>计算方法：</w:t>
      </w:r>
      <w:r>
        <w:rPr>
          <w:rFonts w:hint="eastAsia" w:ascii="仿宋_GB2312" w:hAnsi="仿宋_GB2312" w:eastAsia="仿宋_GB2312" w:cs="仿宋_GB2312"/>
          <w:b/>
          <w:bCs/>
          <w:kern w:val="0"/>
          <w:sz w:val="32"/>
          <w:szCs w:val="32"/>
          <w:lang w:val="en"/>
        </w:rPr>
        <w:t>补助经费</w:t>
      </w:r>
      <w:r>
        <w:rPr>
          <w:rFonts w:hint="eastAsia" w:ascii="仿宋_GB2312" w:hAnsi="仿宋_GB2312" w:eastAsia="仿宋_GB2312" w:cs="仿宋_GB2312"/>
          <w:b w:val="0"/>
          <w:bCs w:val="0"/>
          <w:kern w:val="0"/>
          <w:sz w:val="32"/>
          <w:szCs w:val="32"/>
          <w:lang w:val="en"/>
        </w:rPr>
        <w:t>=</w:t>
      </w:r>
      <w:r>
        <w:rPr>
          <w:rFonts w:hint="eastAsia" w:ascii="仿宋_GB2312" w:hAnsi="仿宋_GB2312" w:eastAsia="仿宋_GB2312" w:cs="仿宋_GB2312"/>
          <w:kern w:val="0"/>
          <w:sz w:val="32"/>
          <w:szCs w:val="32"/>
        </w:rPr>
        <w:t>基层农技推广体系改革与建设支出</w:t>
      </w:r>
      <w:r>
        <w:rPr>
          <w:rFonts w:hint="eastAsia" w:ascii="仿宋_GB2312" w:hAnsi="仿宋_GB2312" w:eastAsia="仿宋_GB2312" w:cs="仿宋_GB2312"/>
          <w:kern w:val="0"/>
          <w:sz w:val="32"/>
          <w:szCs w:val="32"/>
          <w:lang w:eastAsia="zh-CN"/>
        </w:rPr>
        <w:t>资金规模</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基础因素×40%+任务因素×55%+</w:t>
      </w:r>
      <w:r>
        <w:rPr>
          <w:rFonts w:hint="eastAsia" w:ascii="仿宋_GB2312" w:hAnsi="仿宋_GB2312" w:eastAsia="仿宋_GB2312" w:cs="仿宋_GB2312"/>
          <w:color w:val="auto"/>
          <w:kern w:val="0"/>
          <w:sz w:val="32"/>
          <w:szCs w:val="32"/>
          <w:highlight w:val="none"/>
          <w:lang w:eastAsia="zh-CN"/>
        </w:rPr>
        <w:t>脱贫地区因素</w:t>
      </w:r>
      <w:r>
        <w:rPr>
          <w:rFonts w:hint="eastAsia"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eastAsia" w:ascii="仿宋_GB2312" w:hAnsi="宋体" w:eastAsia="仿宋_GB2312" w:cs="宋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kern w:val="0"/>
          <w:sz w:val="32"/>
          <w:szCs w:val="32"/>
        </w:rPr>
      </w:pPr>
      <w:r>
        <w:rPr>
          <w:rFonts w:hint="eastAsia" w:ascii="方正仿宋_GBK" w:hAnsi="方正仿宋_GBK" w:eastAsia="方正仿宋_GBK" w:cs="方正仿宋_GBK"/>
          <w:b/>
          <w:bCs/>
          <w:kern w:val="0"/>
          <w:sz w:val="32"/>
          <w:szCs w:val="32"/>
        </w:rPr>
        <w:t>——</w:t>
      </w:r>
      <w:r>
        <w:rPr>
          <w:rFonts w:hint="eastAsia" w:ascii="仿宋_GB2312" w:hAnsi="仿宋_GB2312" w:eastAsia="仿宋_GB2312" w:cs="仿宋_GB2312"/>
          <w:b/>
          <w:bCs/>
          <w:kern w:val="0"/>
          <w:sz w:val="32"/>
          <w:szCs w:val="32"/>
        </w:rPr>
        <w:t>农业信贷担保业务补奖</w:t>
      </w:r>
      <w:r>
        <w:rPr>
          <w:rFonts w:hint="eastAsia" w:ascii="仿宋_GB2312" w:hAnsi="仿宋_GB2312" w:eastAsia="仿宋_GB2312" w:cs="仿宋_GB2312"/>
          <w:b/>
          <w:bCs/>
          <w:kern w:val="0"/>
          <w:sz w:val="32"/>
          <w:szCs w:val="32"/>
          <w:lang w:eastAsia="zh-CN"/>
        </w:rPr>
        <w:t>支出</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color w:val="auto"/>
          <w:kern w:val="0"/>
          <w:sz w:val="32"/>
          <w:szCs w:val="32"/>
          <w:highlight w:val="none"/>
        </w:rPr>
        <w:t>根据各省级农担公司新增政策性业务担保金额对账面净资产放大倍数、首担和续担业务额、代偿和解保额等因素，按照规定的比例进行补奖</w:t>
      </w:r>
      <w:r>
        <w:rPr>
          <w:rFonts w:hint="eastAsia" w:ascii="仿宋_GB2312" w:hAnsi="仿宋_GB2312" w:eastAsia="仿宋_GB2312" w:cs="仿宋_GB2312"/>
          <w:color w:val="auto"/>
          <w:kern w:val="0"/>
          <w:sz w:val="32"/>
          <w:szCs w:val="32"/>
          <w:highlight w:val="none"/>
          <w:lang w:eastAsia="zh-CN"/>
        </w:rPr>
        <w:t>，并实行总额上限管理，补奖比例可结合农业信贷担保体系发展实际进行适当调整</w:t>
      </w:r>
      <w:r>
        <w:rPr>
          <w:rFonts w:hint="eastAsia" w:ascii="仿宋_GB2312" w:hAnsi="仿宋_GB2312" w:eastAsia="仿宋_GB2312" w:cs="仿宋_GB2312"/>
          <w:color w:val="auto"/>
          <w:kern w:val="0"/>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default" w:ascii="仿宋_GB2312" w:hAnsi="仿宋_GB2312" w:eastAsia="仿宋_GB2312" w:cs="仿宋_GB2312"/>
          <w:color w:val="auto"/>
          <w:kern w:val="0"/>
          <w:sz w:val="32"/>
          <w:szCs w:val="32"/>
          <w:highlight w:val="none"/>
          <w:lang w:val="en" w:eastAsia="zh-CN"/>
        </w:rPr>
      </w:pPr>
      <w:r>
        <w:rPr>
          <w:rFonts w:hint="eastAsia" w:ascii="仿宋_GB2312" w:hAnsi="仿宋_GB2312" w:eastAsia="仿宋_GB2312" w:cs="仿宋_GB2312"/>
          <w:b/>
          <w:bCs/>
          <w:kern w:val="0"/>
          <w:sz w:val="32"/>
          <w:szCs w:val="32"/>
        </w:rPr>
        <w:t>计算方法：</w:t>
      </w:r>
      <w:r>
        <w:rPr>
          <w:rFonts w:hint="eastAsia" w:ascii="仿宋_GB2312" w:hAnsi="仿宋_GB2312" w:eastAsia="仿宋_GB2312" w:cs="仿宋_GB2312"/>
          <w:b/>
          <w:bCs/>
          <w:color w:val="auto"/>
          <w:kern w:val="0"/>
          <w:sz w:val="32"/>
          <w:szCs w:val="32"/>
          <w:highlight w:val="none"/>
        </w:rPr>
        <w:t>补助经费</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[省级</w:t>
      </w:r>
      <w:r>
        <w:rPr>
          <w:rFonts w:hint="eastAsia" w:ascii="仿宋_GB2312" w:hAnsi="仿宋_GB2312" w:eastAsia="仿宋_GB2312" w:cs="仿宋_GB2312"/>
          <w:color w:val="auto"/>
          <w:kern w:val="0"/>
          <w:sz w:val="32"/>
          <w:szCs w:val="32"/>
          <w:highlight w:val="none"/>
        </w:rPr>
        <w:t>农担公司放大倍数5倍以内</w:t>
      </w:r>
      <w:r>
        <w:rPr>
          <w:rFonts w:hint="eastAsia" w:ascii="仿宋_GB2312" w:hAnsi="仿宋_GB2312" w:eastAsia="仿宋_GB2312" w:cs="仿宋_GB2312"/>
          <w:color w:val="auto"/>
          <w:kern w:val="0"/>
          <w:sz w:val="32"/>
          <w:szCs w:val="32"/>
          <w:highlight w:val="none"/>
          <w:lang w:eastAsia="zh-CN"/>
        </w:rPr>
        <w:t>且担保期限</w:t>
      </w:r>
      <w:r>
        <w:rPr>
          <w:rFonts w:hint="eastAsia" w:ascii="仿宋_GB2312" w:hAnsi="仿宋_GB2312" w:eastAsia="仿宋_GB2312" w:cs="仿宋_GB2312"/>
          <w:color w:val="auto"/>
          <w:kern w:val="0"/>
          <w:sz w:val="32"/>
          <w:szCs w:val="32"/>
          <w:highlight w:val="none"/>
          <w:lang w:val="en-US" w:eastAsia="zh-CN"/>
        </w:rPr>
        <w:t>6个月以上的</w:t>
      </w:r>
      <w:r>
        <w:rPr>
          <w:rFonts w:hint="eastAsia" w:ascii="仿宋_GB2312" w:hAnsi="仿宋_GB2312" w:eastAsia="仿宋_GB2312" w:cs="仿宋_GB2312"/>
          <w:color w:val="auto"/>
          <w:kern w:val="0"/>
          <w:sz w:val="32"/>
          <w:szCs w:val="32"/>
          <w:highlight w:val="none"/>
        </w:rPr>
        <w:t>新增政策性业务（首担金额×1.5%+续担金额×0.5%）+5倍以上</w:t>
      </w:r>
      <w:r>
        <w:rPr>
          <w:rFonts w:hint="eastAsia" w:ascii="仿宋_GB2312" w:hAnsi="仿宋_GB2312" w:eastAsia="仿宋_GB2312" w:cs="仿宋_GB2312"/>
          <w:color w:val="auto"/>
          <w:kern w:val="0"/>
          <w:sz w:val="32"/>
          <w:szCs w:val="32"/>
          <w:highlight w:val="none"/>
          <w:lang w:eastAsia="zh-CN"/>
        </w:rPr>
        <w:t>且担保期限</w:t>
      </w:r>
      <w:r>
        <w:rPr>
          <w:rFonts w:hint="eastAsia" w:ascii="仿宋_GB2312" w:hAnsi="仿宋_GB2312" w:eastAsia="仿宋_GB2312" w:cs="仿宋_GB2312"/>
          <w:color w:val="auto"/>
          <w:kern w:val="0"/>
          <w:sz w:val="32"/>
          <w:szCs w:val="32"/>
          <w:highlight w:val="none"/>
          <w:lang w:val="en-US" w:eastAsia="zh-CN"/>
        </w:rPr>
        <w:t>6个月以上的</w:t>
      </w:r>
      <w:r>
        <w:rPr>
          <w:rFonts w:hint="eastAsia" w:ascii="仿宋_GB2312" w:hAnsi="仿宋_GB2312" w:eastAsia="仿宋_GB2312" w:cs="仿宋_GB2312"/>
          <w:color w:val="auto"/>
          <w:kern w:val="0"/>
          <w:sz w:val="32"/>
          <w:szCs w:val="32"/>
          <w:highlight w:val="none"/>
        </w:rPr>
        <w:t>新增政策性业务担保金额×0.</w:t>
      </w:r>
      <w:bookmarkStart w:id="0" w:name="_GoBack"/>
      <w:bookmarkEnd w:id="0"/>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%+Min（代偿金额，解保金额×1%）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补奖系数</w:t>
      </w:r>
      <w:r>
        <w:rPr>
          <w:rFonts w:hint="default" w:ascii="仿宋_GB2312" w:hAnsi="仿宋_GB2312" w:eastAsia="仿宋_GB2312" w:cs="仿宋_GB2312"/>
          <w:color w:val="auto"/>
          <w:kern w:val="0"/>
          <w:sz w:val="32"/>
          <w:szCs w:val="32"/>
          <w:highlight w:val="none"/>
          <w:lang w:val="en" w:eastAsia="zh-CN"/>
        </w:rPr>
        <w:t>.</w:t>
      </w: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eastAsia" w:ascii="仿宋_GB2312" w:hAnsi="宋体" w:eastAsia="仿宋_GB2312" w:cs="宋体"/>
          <w:color w:val="auto"/>
          <w:kern w:val="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注：除</w:t>
      </w:r>
      <w:r>
        <w:rPr>
          <w:rFonts w:hint="eastAsia" w:ascii="仿宋_GB2312" w:hAnsi="宋体" w:eastAsia="仿宋_GB2312" w:cs="宋体"/>
          <w:kern w:val="0"/>
          <w:sz w:val="32"/>
          <w:szCs w:val="32"/>
        </w:rPr>
        <w:t>党中央、国务院临时确定的重点事项，以及</w:t>
      </w:r>
      <w:r>
        <w:rPr>
          <w:rFonts w:hint="eastAsia" w:ascii="仿宋_GB2312" w:hAnsi="宋体" w:eastAsia="仿宋_GB2312" w:cs="宋体"/>
          <w:color w:val="auto"/>
          <w:kern w:val="0"/>
          <w:sz w:val="32"/>
          <w:szCs w:val="32"/>
          <w:highlight w:val="none"/>
        </w:rPr>
        <w:t>对农</w:t>
      </w:r>
      <w:r>
        <w:rPr>
          <w:rFonts w:hint="eastAsia" w:ascii="仿宋_GB2312" w:hAnsi="宋体" w:eastAsia="仿宋_GB2312" w:cs="宋体"/>
          <w:kern w:val="0"/>
          <w:sz w:val="32"/>
          <w:szCs w:val="32"/>
        </w:rPr>
        <w:t>（牧、渔）</w:t>
      </w:r>
      <w:r>
        <w:rPr>
          <w:rFonts w:hint="eastAsia" w:ascii="仿宋_GB2312" w:hAnsi="宋体" w:eastAsia="仿宋_GB2312" w:cs="宋体"/>
          <w:color w:val="auto"/>
          <w:kern w:val="0"/>
          <w:sz w:val="32"/>
          <w:szCs w:val="32"/>
          <w:highlight w:val="none"/>
        </w:rPr>
        <w:t>民直接补贴</w:t>
      </w:r>
      <w:r>
        <w:rPr>
          <w:rFonts w:hint="eastAsia" w:ascii="仿宋_GB2312" w:hAnsi="宋体" w:eastAsia="仿宋_GB2312" w:cs="宋体"/>
          <w:color w:val="auto"/>
          <w:kern w:val="0"/>
          <w:sz w:val="32"/>
          <w:szCs w:val="32"/>
          <w:highlight w:val="none"/>
          <w:lang w:eastAsia="zh-CN"/>
        </w:rPr>
        <w:t>、采取项目法管理、实行定额补助等任务资金外，其他资金测算原则上应</w:t>
      </w:r>
      <w:r>
        <w:rPr>
          <w:rFonts w:hint="eastAsia" w:ascii="仿宋_GB2312" w:hAnsi="宋体" w:eastAsia="仿宋_GB2312" w:cs="宋体"/>
          <w:color w:val="auto"/>
          <w:kern w:val="0"/>
          <w:sz w:val="32"/>
          <w:szCs w:val="32"/>
          <w:highlight w:val="none"/>
        </w:rPr>
        <w:t>根据绩效评价结果等</w:t>
      </w:r>
      <w:r>
        <w:rPr>
          <w:rFonts w:hint="eastAsia" w:ascii="仿宋_GB2312" w:hAnsi="宋体" w:eastAsia="仿宋_GB2312" w:cs="宋体"/>
          <w:color w:val="auto"/>
          <w:kern w:val="0"/>
          <w:sz w:val="32"/>
          <w:szCs w:val="32"/>
          <w:highlight w:val="none"/>
          <w:lang w:eastAsia="zh-CN"/>
        </w:rPr>
        <w:t>合理设置调节系数</w:t>
      </w:r>
      <w:r>
        <w:rPr>
          <w:rFonts w:hint="eastAsia" w:ascii="仿宋_GB2312" w:hAnsi="宋体" w:eastAsia="仿宋_GB2312" w:cs="宋体"/>
          <w:color w:val="auto"/>
          <w:kern w:val="0"/>
          <w:sz w:val="32"/>
          <w:szCs w:val="32"/>
          <w:highlight w:val="none"/>
        </w:rPr>
        <w:t>进行适当调节</w:t>
      </w:r>
      <w:r>
        <w:rPr>
          <w:rFonts w:hint="eastAsia" w:ascii="仿宋_GB2312" w:hAnsi="宋体" w:eastAsia="仿宋_GB2312" w:cs="宋体"/>
          <w:color w:val="auto"/>
          <w:kern w:val="0"/>
          <w:sz w:val="32"/>
          <w:szCs w:val="32"/>
          <w:highlight w:val="none"/>
          <w:lang w:eastAsia="zh-CN"/>
        </w:rPr>
        <w:t>，测算公式参考：</w:t>
      </w:r>
    </w:p>
    <w:p>
      <w:pPr>
        <w:rPr>
          <w:rFonts w:hint="eastAsia" w:ascii="仿宋_GB2312" w:eastAsia="仿宋_GB2312"/>
          <w:iCs/>
          <w:sz w:val="28"/>
          <w:szCs w:val="28"/>
        </w:rPr>
      </w:pPr>
      <m:oMathPara>
        <m:oMath>
          <m:r>
            <m:rPr>
              <m:sty m:val="p"/>
            </m:rPr>
            <w:rPr>
              <w:rFonts w:hint="eastAsia" w:ascii="Cambria Math" w:hAnsi="Cambria Math" w:eastAsia="仿宋_GB2312"/>
              <w:sz w:val="28"/>
              <w:szCs w:val="28"/>
            </w:rPr>
            <m:t>某省资金数=</m:t>
          </m:r>
          <m:f>
            <m:fPr>
              <m:ctrlPr>
                <w:rPr>
                  <w:rFonts w:hint="eastAsia" w:ascii="Cambria Math" w:hAnsi="Cambria Math" w:eastAsia="仿宋_GB2312"/>
                  <w:iCs/>
                  <w:sz w:val="28"/>
                  <w:szCs w:val="28"/>
                </w:rPr>
              </m:ctrlPr>
            </m:fPr>
            <m:num>
              <m:r>
                <m:rPr>
                  <m:sty m:val="p"/>
                </m:rPr>
                <w:rPr>
                  <w:rFonts w:hint="eastAsia" w:ascii="Cambria Math" w:hAnsi="Cambria Math" w:eastAsia="仿宋_GB2312"/>
                  <w:sz w:val="28"/>
                  <w:szCs w:val="28"/>
                </w:rPr>
                <m:t>该省因素测算资金数×绩效调节系数</m:t>
              </m:r>
              <m:ctrlPr>
                <w:rPr>
                  <w:rFonts w:hint="eastAsia" w:ascii="Cambria Math" w:hAnsi="Cambria Math" w:eastAsia="仿宋_GB2312"/>
                  <w:iCs/>
                  <w:sz w:val="28"/>
                  <w:szCs w:val="28"/>
                </w:rPr>
              </m:ctrlPr>
            </m:num>
            <m:den>
              <m:nary>
                <m:naryPr>
                  <m:chr m:val="∑"/>
                  <m:limLoc m:val="undOvr"/>
                  <m:subHide m:val="true"/>
                  <m:supHide m:val="true"/>
                  <m:ctrlPr>
                    <w:rPr>
                      <w:rFonts w:hint="eastAsia" w:ascii="Cambria Math" w:hAnsi="Cambria Math" w:eastAsia="仿宋_GB2312"/>
                      <w:i/>
                      <w:iCs/>
                      <w:sz w:val="28"/>
                      <w:szCs w:val="28"/>
                    </w:rPr>
                  </m:ctrlPr>
                </m:naryPr>
                <m:sub>
                  <m:ctrlPr>
                    <w:rPr>
                      <w:rFonts w:hint="eastAsia" w:ascii="Cambria Math" w:hAnsi="Cambria Math" w:eastAsia="仿宋_GB2312"/>
                      <w:i/>
                      <w:iCs/>
                      <w:sz w:val="28"/>
                      <w:szCs w:val="28"/>
                    </w:rPr>
                  </m:ctrlPr>
                </m:sub>
                <m:sup>
                  <m:ctrlPr>
                    <w:rPr>
                      <w:rFonts w:hint="eastAsia" w:ascii="Cambria Math" w:hAnsi="Cambria Math" w:eastAsia="仿宋_GB2312"/>
                      <w:i/>
                      <w:iCs/>
                      <w:sz w:val="28"/>
                      <w:szCs w:val="28"/>
                    </w:rPr>
                  </m:ctrlPr>
                </m:sup>
                <m:e>
                  <m:d>
                    <m:dPr>
                      <m:ctrlPr>
                        <w:rPr>
                          <w:rFonts w:hint="eastAsia" w:ascii="Cambria Math" w:hAnsi="Cambria Math" w:eastAsia="仿宋_GB2312"/>
                          <w:iCs/>
                          <w:sz w:val="28"/>
                          <w:szCs w:val="28"/>
                        </w:rPr>
                      </m:ctrlPr>
                    </m:dPr>
                    <m:e>
                      <m:r>
                        <m:rPr>
                          <m:sty m:val="p"/>
                        </m:rPr>
                        <w:rPr>
                          <w:rFonts w:hint="eastAsia" w:ascii="Cambria Math" w:hAnsi="Cambria Math" w:eastAsia="仿宋_GB2312"/>
                          <w:sz w:val="28"/>
                          <w:szCs w:val="28"/>
                        </w:rPr>
                        <m:t>各省因素测算资金数×绩效调节系数</m:t>
                      </m:r>
                      <m:ctrlPr>
                        <w:rPr>
                          <w:rFonts w:hint="eastAsia" w:ascii="Cambria Math" w:hAnsi="Cambria Math" w:eastAsia="仿宋_GB2312"/>
                          <w:iCs/>
                          <w:sz w:val="28"/>
                          <w:szCs w:val="28"/>
                        </w:rPr>
                      </m:ctrlPr>
                    </m:e>
                  </m:d>
                  <m:ctrlPr>
                    <w:rPr>
                      <w:rFonts w:hint="eastAsia" w:ascii="Cambria Math" w:hAnsi="Cambria Math" w:eastAsia="仿宋_GB2312"/>
                      <w:i/>
                      <w:iCs/>
                      <w:sz w:val="28"/>
                      <w:szCs w:val="28"/>
                    </w:rPr>
                  </m:ctrlPr>
                </m:e>
              </m:nary>
              <m:ctrlPr>
                <w:rPr>
                  <w:rFonts w:hint="eastAsia" w:ascii="Cambria Math" w:hAnsi="Cambria Math" w:eastAsia="仿宋_GB2312"/>
                  <w:iCs/>
                  <w:sz w:val="28"/>
                  <w:szCs w:val="28"/>
                </w:rPr>
              </m:ctrlPr>
            </m:den>
          </m:f>
          <m:r>
            <m:rPr/>
            <w:rPr>
              <w:rFonts w:hint="eastAsia" w:ascii="Cambria Math" w:hAnsi="Cambria Math" w:eastAsia="仿宋_GB2312"/>
              <w:sz w:val="28"/>
              <w:szCs w:val="28"/>
            </w:rPr>
            <m:t>×</m:t>
          </m:r>
          <m:r>
            <m:rPr>
              <m:sty m:val="p"/>
            </m:rPr>
            <w:rPr>
              <w:rFonts w:hint="eastAsia" w:ascii="Cambria Math" w:hAnsi="Cambria Math" w:eastAsia="仿宋_GB2312"/>
              <w:sz w:val="28"/>
              <w:szCs w:val="28"/>
            </w:rPr>
            <m:t>资金总额</m:t>
          </m:r>
        </m:oMath>
      </m:oMathPara>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auto"/>
          <w:kern w:val="0"/>
          <w:sz w:val="30"/>
          <w:szCs w:val="30"/>
          <w:highlight w:val="none"/>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iCs/>
          <w:sz w:val="28"/>
          <w:szCs w:val="28"/>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auto"/>
          <w:kern w:val="0"/>
          <w:sz w:val="30"/>
          <w:szCs w:val="30"/>
          <w:highlight w:val="none"/>
          <w:lang w:eastAsia="zh-CN"/>
        </w:rPr>
      </w:pPr>
    </w:p>
    <w:p>
      <w:pPr>
        <w:keepNext w:val="0"/>
        <w:keepLines w:val="0"/>
        <w:pageBreakBefore w:val="0"/>
        <w:kinsoku/>
        <w:wordWrap/>
        <w:overflowPunct/>
        <w:topLinePunct w:val="0"/>
        <w:autoSpaceDE/>
        <w:autoSpaceDN/>
        <w:bidi w:val="0"/>
        <w:adjustRightInd/>
        <w:snapToGrid/>
        <w:spacing w:line="600" w:lineRule="exact"/>
        <w:textAlignment w:val="auto"/>
      </w:pP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eastAsia" w:ascii="仿宋_GB2312" w:hAnsi="宋体" w:eastAsia="仿宋_GB2312" w:cs="宋体"/>
          <w:color w:val="auto"/>
          <w:kern w:val="0"/>
          <w:sz w:val="30"/>
          <w:szCs w:val="30"/>
          <w:highlight w:val="none"/>
          <w:lang w:eastAsia="zh-CN"/>
        </w:rPr>
      </w:pP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eastAsia" w:ascii="仿宋_GB2312" w:hAnsi="宋体" w:eastAsia="仿宋_GB2312" w:cs="宋体"/>
          <w:color w:val="auto"/>
          <w:kern w:val="0"/>
          <w:sz w:val="30"/>
          <w:szCs w:val="30"/>
          <w:highlight w:val="none"/>
        </w:rPr>
      </w:pP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eastAsia" w:ascii="仿宋_GB2312" w:hAnsi="宋体" w:eastAsia="仿宋_GB2312" w:cs="宋体"/>
          <w:color w:val="auto"/>
          <w:kern w:val="0"/>
          <w:sz w:val="30"/>
          <w:szCs w:val="30"/>
          <w:highlight w:val="none"/>
        </w:rPr>
      </w:pPr>
    </w:p>
    <w:p>
      <w:pPr>
        <w:keepNext w:val="0"/>
        <w:keepLines w:val="0"/>
        <w:pageBreakBefore w:val="0"/>
        <w:kinsoku/>
        <w:wordWrap/>
        <w:overflowPunct/>
        <w:topLinePunct w:val="0"/>
        <w:autoSpaceDE/>
        <w:autoSpaceDN/>
        <w:bidi w:val="0"/>
        <w:adjustRightInd/>
        <w:snapToGrid/>
        <w:spacing w:line="600" w:lineRule="exact"/>
        <w:ind w:firstLine="602"/>
        <w:textAlignment w:val="auto"/>
        <w:rPr>
          <w:rFonts w:hint="eastAsia" w:ascii="仿宋_GB2312" w:hAnsi="宋体" w:eastAsia="仿宋_GB2312" w:cs="宋体"/>
          <w:color w:val="auto"/>
          <w:kern w:val="0"/>
          <w:sz w:val="30"/>
          <w:szCs w:val="30"/>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Math">
    <w:altName w:val="DejaVu Math TeX Gyre"/>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017B7E"/>
    <w:rsid w:val="1C5FA47C"/>
    <w:rsid w:val="1D7F0394"/>
    <w:rsid w:val="27250FD2"/>
    <w:rsid w:val="2EEFE576"/>
    <w:rsid w:val="3EAB0813"/>
    <w:rsid w:val="3F301EA8"/>
    <w:rsid w:val="4FFEA035"/>
    <w:rsid w:val="58233B52"/>
    <w:rsid w:val="63822F85"/>
    <w:rsid w:val="6C75EFE1"/>
    <w:rsid w:val="6D7E54D3"/>
    <w:rsid w:val="6FAF30B7"/>
    <w:rsid w:val="73FD5A8A"/>
    <w:rsid w:val="7561368D"/>
    <w:rsid w:val="777F88A0"/>
    <w:rsid w:val="7BFEFB60"/>
    <w:rsid w:val="7F1DC80C"/>
    <w:rsid w:val="7F9E3344"/>
    <w:rsid w:val="7FB9B51F"/>
    <w:rsid w:val="7FBEE177"/>
    <w:rsid w:val="7FD7FBEB"/>
    <w:rsid w:val="BF3F03EB"/>
    <w:rsid w:val="D37DDE38"/>
    <w:rsid w:val="D4FF5C02"/>
    <w:rsid w:val="D6FBD4DF"/>
    <w:rsid w:val="E57F0CA0"/>
    <w:rsid w:val="EF7F8770"/>
    <w:rsid w:val="F6F78199"/>
    <w:rsid w:val="F7BFA8FC"/>
    <w:rsid w:val="FFCB1E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2"/>
    <w:basedOn w:val="4"/>
    <w:unhideWhenUsed/>
    <w:qFormat/>
    <w:uiPriority w:val="99"/>
    <w:pPr>
      <w:ind w:firstLine="420" w:firstLineChars="200"/>
    </w:pPr>
  </w:style>
  <w:style w:type="paragraph" w:styleId="4">
    <w:name w:val="Body Text Indent"/>
    <w:basedOn w:val="1"/>
    <w:qFormat/>
    <w:uiPriority w:val="0"/>
    <w:pPr>
      <w:ind w:left="1596" w:hanging="969"/>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1100</Words>
  <Characters>1165</Characters>
  <Lines>0</Lines>
  <Paragraphs>0</Paragraphs>
  <TotalTime>5</TotalTime>
  <ScaleCrop>false</ScaleCrop>
  <LinksUpToDate>false</LinksUpToDate>
  <CharactersWithSpaces>1183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Administrator</dc:creator>
  <cp:lastModifiedBy>Admin</cp:lastModifiedBy>
  <cp:lastPrinted>2023-03-30T16:21:00Z</cp:lastPrinted>
  <dcterms:modified xsi:type="dcterms:W3CDTF">2023-04-26T17:03:45Z</dcterms:modified>
  <dc:title>农业经营主体能力提升资金分配测算方法及标准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