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93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612BDD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="64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0A20D8">
        <w:rPr>
          <w:rFonts w:ascii="黑体" w:eastAsia="黑体" w:hint="eastAsia"/>
          <w:color w:val="000000"/>
          <w:kern w:val="0"/>
          <w:sz w:val="32"/>
          <w:szCs w:val="32"/>
        </w:rPr>
        <w:t>中国体育彩票河南省泳坛夺金游戏规则</w:t>
      </w:r>
    </w:p>
    <w:p w:rsidR="000C5993" w:rsidRPr="009777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ED4173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ED4173">
        <w:rPr>
          <w:rFonts w:ascii="黑体" w:eastAsia="黑体" w:hint="eastAsia"/>
          <w:color w:val="000000"/>
          <w:kern w:val="0"/>
          <w:sz w:val="28"/>
          <w:szCs w:val="28"/>
        </w:rPr>
        <w:t>第一章  总则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第一条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根据《彩票管理条例》、《彩票管理条例实施细则》、《彩票发行销售管理办法》（财综〔2012〕102号）等有关规定，制定本规则。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中国体育彩票河南省泳坛夺金（以下简称泳坛夺金）由国家体育总局体育彩票管理中心发行和组织销售，由河南省体育彩票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销售机构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在所辖区域内销售。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第三条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泳坛夺金采用计算机网络系统发行，在河南省体育彩票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销售机构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设置的销售网点销售，定期开奖。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第四条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泳坛夺金实行自愿购买，凡购买者均被视为同意并遵守本规则。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第五条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不得向未成年人销售彩票或兑付奖金。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FD3EB2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FD3EB2">
        <w:rPr>
          <w:rFonts w:ascii="黑体" w:eastAsia="黑体" w:hint="eastAsia"/>
          <w:color w:val="000000"/>
          <w:kern w:val="0"/>
          <w:sz w:val="28"/>
          <w:szCs w:val="28"/>
        </w:rPr>
        <w:t>第二章  投注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第六条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泳坛夺金是从自由泳、仰泳、蛙泳、蝶泳四个依次进行的比赛项目中，选择一至四个项目，预测获胜选手号码并进行投注，每个比赛项目中参赛选手按泳道顺序分别以1至8号表示，一组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至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个号码的组合称为一注单式投注。每注金额人民币2元。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第七条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泳坛夺金分为任选一、任选二、选三、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选四和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形态共五种投注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方式，具体规定如下：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（一）任选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：从自由泳、仰泳、蛙泳、蝶泳四个比赛项目中，任意选择一个项目预测获胜选手号码并进行投注。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（二）任选二：从自由泳、仰泳、蛙泳、蝶泳四个比赛项目中，任意选择二个比赛项目预测获胜选手号码并进行投注。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（三）选三：预测自由泳、仰泳、蛙泳、蝶泳四个比赛项目中三个项目的获胜选手号码并进行投注，具体分为：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1．任选三：从四个比赛项目中，任意选择三个项目预测获胜选手号码并进行投注；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2．二带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：对前三个或者后三个比赛项目，预测获胜选手号码并进行投注，投注的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个号码中有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两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个号码相同、另外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个号码不同；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3．三不重：对前三个或者后三个比赛项目，预测获胜选手号码并进行投注，投注的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个号码各不相同；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4．豹子：在四个比赛项目中，预测任意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个项目获胜选手号码相同并对此号码进行投注；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5．拖拉机：对前三个或者后三个比赛项目，预测获胜选手号码呈“拖拉机”形式并进行投注，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个号码从小到大或从大到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小连续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排列，称为“拖拉机”。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（四）选四：对自由泳、仰泳、蛙泳、蝶泳四个比赛项目，预测全部获胜选手号码并进行投注，具体分为：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1．直选：对四个比赛项目分别预测获胜选手号码并进行投注；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2．通选：对四个比赛项目分别预测获胜选手号码并进行投注；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3．组选：不区分四个比赛项目，预测全部获胜选手号码并进行投注，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具体分为：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（1）组选4：预测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个获胜手号码并进行投注，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个号码中有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个号码相同、另外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个号码不同，有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种排列方式； 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（2）组选6：预测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个获胜手号码并进行投注，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个号码两两相同，有6种排列方式； 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（3）组选12：预测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个获胜手号码并进行投注，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个号码中只有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两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个号码相同、另外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两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个号码不同，有12种排列方式；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（4）组选24：预测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个获胜手号码并进行投注，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个号码各不相同，有24种排列方式。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（五）形态：不区分四个比赛项目，预测全部获胜选手号码出现的形态并进行投注，具体分为：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1．组4形态：预测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个号码呈“组4形态”并进行投注，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个号码中有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个号码相同、另外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个号码不同，称为“组4形态”；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2．组6形态：预测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个号码呈“组6形态”并进行投注，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个号码两两相同，称为“组6形态”。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第八条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购买者可选择复式投注、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胆拖投注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。复式投注是指对所选项目中预测的获胜选手号码进行排列或组合后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形成多注单式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投注号码的投注。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胆拖投注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是指先选取少于单式投注号码个数的号码作为胆码，再选取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除胆码以外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的号码作为拖码，对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胆码和拖码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进行排列或组合，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形成多注单式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投注号码的投注。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胆码是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每注单式投注中都有的号码，且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胆码和拖码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的个数之和必须等于或多于该单式投注号码个数。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第九条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购买者可对其选定的投注号码进行多倍投注，投注倍数范围为2-99倍。单张彩票的投注金额最高不超过20000元。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lastRenderedPageBreak/>
        <w:t xml:space="preserve">第十条 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泳坛夺金每期销售时间为10分钟，销售期号以销售日按每期开奖顺序编排。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第十一条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购买者可在河南省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体育彩票销售机构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设置的售网点进行投注。投注号码经投注机打印出兑奖凭证，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交购买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者保存，此兑奖凭证即为泳坛夺金彩票。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第十二条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购买者可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选择机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选号码投注、自选号码投注。机选号码投注是指由投注机随机产生投注号码进行投注，自选号码投注是指将购买者选定的号码输入投注机进行投注。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 xml:space="preserve">第十三条 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泳坛夺金每期全部投注号码的可投注数量实行限量销售，若投注号码受限，则不能投注。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第十四条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若因销售终端故障、通讯线路故障和投注站信用额度受限等原因造成投注不成功，应退还投注者投注金额。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FD3EB2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FD3EB2">
        <w:rPr>
          <w:rFonts w:ascii="黑体" w:eastAsia="黑体" w:hint="eastAsia"/>
          <w:color w:val="000000"/>
          <w:kern w:val="0"/>
          <w:sz w:val="28"/>
          <w:szCs w:val="28"/>
        </w:rPr>
        <w:t>第三章  设奖</w:t>
      </w:r>
    </w:p>
    <w:p w:rsidR="000C5993" w:rsidRPr="000A20D8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第十五条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泳坛夺金按当期销售额的59%、13%、28%分别计提彩票奖金、彩票发行费和彩票公益金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彩票奖金分为当期奖金和调节基金，其中，58%为当期奖金，1%为调节基金。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第十六条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泳坛夺金按不同投注方式设奖，均为固定奖。奖金规定如下：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（一）任选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：单注奖金固定为9元。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（二）任选二：单注奖金固定为74元。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（三）选三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1．任选三：单注奖金固定为593元；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2．二带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：单注奖金固定为98元；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3．三不重：单注奖金固定为49元；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4．豹子：单注奖金固定为163元；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5．拖拉机：单注奖金固定为26元。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（四）选四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1．直选：单注奖金固定为4751元。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2．通选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（1）中4：单注奖金固定为3350元；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（2）中3：单注奖金固定为50元。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3．组选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（1）组选4：单注奖金固定为1187元；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（2）组选6：单注奖金固定为791元；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（3）组选12：单注奖金固定为395元；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（4）组选24：单注奖金固定为197元。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（五）形态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1．组4形态：单注奖金固定为21元；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2．组6形态：单注奖金固定为28元。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第十七条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泳坛夺金设置调节基金。调节基金包括按销售总额1%提取部分、逾期未退票的票款，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以及奖池超过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限额的部分。调节基金用于支付不可预见的奖金支出风险，以及设立特别奖。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第十八条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泳坛夺金设置奖池，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奖池资金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由计提的当期奖金与实际中出奖金的差额组成。当期实际中出奖金小于计提的当期奖金时，余额进入奖池；当期实际中出奖金大于计提的当期奖金时，差额用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奖池资金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补足。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当奖池资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金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总额不足时，由调节基金补足，调节基金不足时，用彩票兑奖周转金垫支。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当奖池资金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总额超过200万元时，超过部分转入调节基金。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第十九条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在出现彩票兑奖周转金垫支的情况下，当调节基金有资金滚入时优先偿还垫支的彩票兑奖周转金。</w:t>
      </w:r>
    </w:p>
    <w:p w:rsidR="000C5993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FD3EB2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FD3EB2">
        <w:rPr>
          <w:rFonts w:ascii="黑体" w:eastAsia="黑体" w:hint="eastAsia"/>
          <w:color w:val="000000"/>
          <w:kern w:val="0"/>
          <w:sz w:val="28"/>
          <w:szCs w:val="28"/>
        </w:rPr>
        <w:t>第四章  开奖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第二十条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泳坛夺金采用专用电子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摇奖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设备开奖，每期按照自由泳、仰泳、蛙泳、蝶泳的顺序依次产生各比赛项目的获胜选手号码，作为当期开奖号码。开奖号码的顺序不能颠倒。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 xml:space="preserve">第二十一条 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每期开奖后，河南省体育彩票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销售机构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应将开奖号码、当期销售总额、各奖级中奖情况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及奖池资金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余额等信息向社会公布，并将开奖结果通知销售网点。</w:t>
      </w:r>
    </w:p>
    <w:p w:rsidR="000C5993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FD3EB2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FD3EB2">
        <w:rPr>
          <w:rFonts w:ascii="黑体" w:eastAsia="黑体" w:hint="eastAsia"/>
          <w:color w:val="000000"/>
          <w:kern w:val="0"/>
          <w:sz w:val="28"/>
          <w:szCs w:val="28"/>
        </w:rPr>
        <w:t>第五章  中奖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第二十二条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泳坛夺金按不同投注方式，根据投注号码与当期开奖号码相符情况，确定相应的中奖资格。具体规定如下：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（一）任选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：所选比赛项目的投注号码与该项目的开奖号码相同，即中奖。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（二）任选二：所选比赛项目的投注号码分别与对应项目的开奖号码相同，即中奖。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（三）选三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1．任选三：所选比赛项目的投注号码分别与对应项目的开奖号码相同，即中奖；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2．二带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：投注号码与前三个或者后三个比赛项目的开奖号码相同，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顺序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不限，即中奖，若同时对中前三个和后三个比赛项目可兼得奖金；</w:t>
      </w:r>
    </w:p>
    <w:p w:rsidR="000C5993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3．三不重：投注号码与前三个或者后三个比赛项目的开奖号码相同，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顺序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不限，即中奖，若同时对中前三个和后三个比赛项目可兼得奖金；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．豹子：投注号码与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个比赛项目中任意三个项目的开奖号码相同，比赛项目不限，即中奖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5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．拖拉机：前三个或者后三个比赛项目的开奖号码呈从小到大或者从大到</w:t>
      </w:r>
      <w:proofErr w:type="gramStart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小连续</w:t>
      </w:r>
      <w:proofErr w:type="gramEnd"/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排列，即中奖，包括123、234、345、456、567、678、876、765、654、543、432、321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（四）选四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1．直选：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个投注号码分别与对应比赛项目的开奖号码相同，即中奖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2．通选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（1）中4：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个投注号码分别与对应比赛项目的开奖号码相同，即中奖；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（2）中3：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个投注号码中，任意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个号码分别与对应比赛项目的开奖号码相同，即中奖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3．组选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（1）组选4：投注号码与开奖号码相同，比赛项目不限，即中奖；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（2）组选6：投注号码与开奖号码相同，比赛项目不限，即中奖； 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（3）组选12：投注号码与开奖号码相同，比赛项目不限，即中奖；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（4）组选24：投注号码与开奖号码相同，比赛项目不限，即中奖。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（五）形态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: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1．组4形态：开奖号码中有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三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个号码相同、另外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个号码不同，即出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现“组4形态”，即中奖；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2．组6形态：开奖号码两两相同，即出现“组6形态”，即中奖。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 xml:space="preserve">第二十三条 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当期每注投注号码按其投注方式只有一次中奖机会，不能兼中兼得，另行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规定或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>设立的特别奖除外。</w:t>
      </w:r>
    </w:p>
    <w:p w:rsidR="000C5993" w:rsidRPr="009777D8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FD3EB2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FD3EB2">
        <w:rPr>
          <w:rFonts w:ascii="黑体" w:eastAsia="黑体" w:hint="eastAsia"/>
          <w:color w:val="000000"/>
          <w:kern w:val="0"/>
          <w:sz w:val="28"/>
          <w:szCs w:val="28"/>
        </w:rPr>
        <w:t>第六章  兑奖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第二十四条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泳坛夺金兑奖当期有效。中奖者应当自开奖之日起60个自然日内，持中奖彩票到指定的地点兑奖。逾期未兑奖视为弃奖，弃奖奖金纳入彩票公益金。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第二十五条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中奖彩票为兑奖惟一凭证，中奖彩票因玷污、损坏等原因不能正确识别的，不能兑奖。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/>
          <w:color w:val="000000"/>
          <w:kern w:val="0"/>
          <w:sz w:val="28"/>
          <w:szCs w:val="28"/>
        </w:rPr>
      </w:pPr>
      <w:r w:rsidRPr="00ED41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第二十六条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兑奖机构有权查验中奖者的中奖彩票及有效身份证件，兑奖者应予配合。</w:t>
      </w:r>
    </w:p>
    <w:p w:rsidR="000C5993" w:rsidRDefault="000C5993" w:rsidP="000C5993">
      <w:pPr>
        <w:snapToGrid w:val="0"/>
        <w:spacing w:line="560" w:lineRule="exac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FD3EB2" w:rsidRDefault="000C5993" w:rsidP="000C5993">
      <w:pPr>
        <w:snapToGrid w:val="0"/>
        <w:spacing w:line="560" w:lineRule="exact"/>
        <w:jc w:val="center"/>
        <w:rPr>
          <w:rFonts w:ascii="黑体" w:eastAsia="黑体"/>
          <w:color w:val="000000"/>
          <w:kern w:val="0"/>
          <w:sz w:val="28"/>
          <w:szCs w:val="28"/>
        </w:rPr>
      </w:pPr>
      <w:r w:rsidRPr="00FD3EB2">
        <w:rPr>
          <w:rFonts w:ascii="黑体" w:eastAsia="黑体" w:hint="eastAsia"/>
          <w:color w:val="000000"/>
          <w:kern w:val="0"/>
          <w:sz w:val="28"/>
          <w:szCs w:val="28"/>
        </w:rPr>
        <w:t>第七章  附则</w:t>
      </w:r>
    </w:p>
    <w:p w:rsidR="000C5993" w:rsidRPr="000A20D8" w:rsidRDefault="000C5993" w:rsidP="000C5993">
      <w:pPr>
        <w:snapToGrid w:val="0"/>
        <w:spacing w:line="560" w:lineRule="exact"/>
        <w:ind w:firstLineChars="200" w:firstLine="525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C5993" w:rsidRPr="000A20D8" w:rsidRDefault="000C5993" w:rsidP="000C5993">
      <w:pPr>
        <w:snapToGrid w:val="0"/>
        <w:spacing w:line="560" w:lineRule="exact"/>
        <w:ind w:firstLineChars="200" w:firstLine="527"/>
        <w:rPr>
          <w:rFonts w:ascii="仿宋_GB2312" w:eastAsia="仿宋_GB2312" w:hAnsi="华文仿宋"/>
          <w:sz w:val="28"/>
          <w:szCs w:val="28"/>
        </w:rPr>
      </w:pPr>
      <w:r w:rsidRPr="008A25E7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第二十七条</w:t>
      </w:r>
      <w:r w:rsidRPr="000A20D8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本规则自批准之日起执行。</w:t>
      </w:r>
    </w:p>
    <w:p w:rsidR="000C5993" w:rsidRPr="00287978" w:rsidRDefault="000C5993" w:rsidP="000C5993">
      <w:pPr>
        <w:spacing w:line="580" w:lineRule="exact"/>
        <w:jc w:val="left"/>
        <w:rPr>
          <w:szCs w:val="32"/>
        </w:rPr>
      </w:pPr>
    </w:p>
    <w:p w:rsidR="000C5993" w:rsidRDefault="000C5993" w:rsidP="000C5993">
      <w:pPr>
        <w:pStyle w:val="3"/>
        <w:ind w:firstLine="565"/>
        <w:rPr>
          <w:rFonts w:hint="eastAsia"/>
          <w:sz w:val="30"/>
          <w:szCs w:val="30"/>
        </w:rPr>
      </w:pPr>
    </w:p>
    <w:p w:rsidR="00E335C8" w:rsidRPr="000C5993" w:rsidRDefault="00E335C8"/>
    <w:sectPr w:rsidR="00E335C8" w:rsidRPr="000C5993" w:rsidSect="000B6780">
      <w:footerReference w:type="even" r:id="rId6"/>
      <w:footerReference w:type="default" r:id="rId7"/>
      <w:footerReference w:type="first" r:id="rId8"/>
      <w:pgSz w:w="11906" w:h="16838" w:code="9"/>
      <w:pgMar w:top="1758" w:right="1616" w:bottom="1758" w:left="1616" w:header="851" w:footer="992" w:gutter="0"/>
      <w:pgNumType w:start="1"/>
      <w:cols w:space="425"/>
      <w:titlePg/>
      <w:docGrid w:type="linesAndChars" w:linePitch="289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14" w:rsidRDefault="00641914" w:rsidP="000C5993">
      <w:r>
        <w:separator/>
      </w:r>
    </w:p>
  </w:endnote>
  <w:endnote w:type="continuationSeparator" w:id="0">
    <w:p w:rsidR="00641914" w:rsidRDefault="00641914" w:rsidP="000C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ED" w:rsidRDefault="00641914" w:rsidP="000B67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DED" w:rsidRDefault="006419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ED" w:rsidRDefault="00641914" w:rsidP="000B67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993">
      <w:rPr>
        <w:rStyle w:val="a5"/>
        <w:noProof/>
      </w:rPr>
      <w:t>7</w:t>
    </w:r>
    <w:r>
      <w:rPr>
        <w:rStyle w:val="a5"/>
      </w:rPr>
      <w:fldChar w:fldCharType="end"/>
    </w:r>
  </w:p>
  <w:p w:rsidR="00CB7DED" w:rsidRDefault="006419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ED" w:rsidRDefault="00641914">
    <w:pPr>
      <w:spacing w:line="360" w:lineRule="auto"/>
      <w:ind w:firstLine="4380"/>
      <w:rPr>
        <w:rFonts w:ascii="仿宋_GB2312" w:eastAsia="仿宋_GB2312" w:hint="eastAsia"/>
        <w:sz w:val="32"/>
        <w:szCs w:val="32"/>
      </w:rPr>
    </w:pPr>
  </w:p>
  <w:p w:rsidR="00CB7DED" w:rsidRDefault="006419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14" w:rsidRDefault="00641914" w:rsidP="000C5993">
      <w:r>
        <w:separator/>
      </w:r>
    </w:p>
  </w:footnote>
  <w:footnote w:type="continuationSeparator" w:id="0">
    <w:p w:rsidR="00641914" w:rsidRDefault="00641914" w:rsidP="000C5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993"/>
    <w:rsid w:val="000C5993"/>
    <w:rsid w:val="00641914"/>
    <w:rsid w:val="0096386C"/>
    <w:rsid w:val="00B90FE9"/>
    <w:rsid w:val="00E3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993"/>
    <w:rPr>
      <w:sz w:val="18"/>
      <w:szCs w:val="18"/>
    </w:rPr>
  </w:style>
  <w:style w:type="paragraph" w:styleId="a4">
    <w:name w:val="footer"/>
    <w:basedOn w:val="a"/>
    <w:link w:val="Char0"/>
    <w:unhideWhenUsed/>
    <w:rsid w:val="000C5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993"/>
    <w:rPr>
      <w:sz w:val="18"/>
      <w:szCs w:val="18"/>
    </w:rPr>
  </w:style>
  <w:style w:type="character" w:styleId="a5">
    <w:name w:val="page number"/>
    <w:basedOn w:val="a0"/>
    <w:rsid w:val="000C5993"/>
  </w:style>
  <w:style w:type="paragraph" w:styleId="3">
    <w:name w:val="Body Text Indent 3"/>
    <w:basedOn w:val="a"/>
    <w:link w:val="3Char"/>
    <w:rsid w:val="000C5993"/>
    <w:pPr>
      <w:spacing w:line="480" w:lineRule="auto"/>
      <w:ind w:firstLineChars="200" w:firstLine="605"/>
    </w:pPr>
    <w:rPr>
      <w:rFonts w:ascii="仿宋_GB2312" w:eastAsia="仿宋_GB2312"/>
      <w:sz w:val="32"/>
      <w:szCs w:val="32"/>
    </w:rPr>
  </w:style>
  <w:style w:type="character" w:customStyle="1" w:styleId="3Char">
    <w:name w:val="正文文本缩进 3 Char"/>
    <w:basedOn w:val="a0"/>
    <w:link w:val="3"/>
    <w:rsid w:val="000C5993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2016-03-22T01:03:00Z</dcterms:created>
  <dcterms:modified xsi:type="dcterms:W3CDTF">2016-03-22T01:04:00Z</dcterms:modified>
</cp:coreProperties>
</file>