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4E3" w:rsidRDefault="00C254E3">
      <w:pPr>
        <w:pStyle w:val="a7"/>
        <w:spacing w:before="0" w:beforeAutospacing="0" w:after="0" w:afterAutospacing="0" w:line="600" w:lineRule="exact"/>
        <w:jc w:val="center"/>
        <w:rPr>
          <w:rStyle w:val="aa"/>
          <w:rFonts w:ascii="方正小标宋_GBK" w:eastAsia="方正小标宋_GBK" w:hAnsi="华文中宋" w:cs="Arial"/>
          <w:b w:val="0"/>
          <w:bCs w:val="0"/>
          <w:color w:val="000000" w:themeColor="text1"/>
          <w:sz w:val="40"/>
          <w:szCs w:val="40"/>
        </w:rPr>
      </w:pPr>
    </w:p>
    <w:p w:rsidR="00C254E3" w:rsidRDefault="00653592">
      <w:pPr>
        <w:pStyle w:val="a7"/>
        <w:spacing w:before="0" w:beforeAutospacing="0" w:after="0" w:afterAutospacing="0" w:line="600" w:lineRule="exact"/>
        <w:jc w:val="center"/>
        <w:rPr>
          <w:rStyle w:val="aa"/>
          <w:rFonts w:ascii="方正小标宋_GBK" w:eastAsia="方正小标宋_GBK" w:hAnsi="华文中宋" w:cs="Arial"/>
          <w:b w:val="0"/>
          <w:bCs w:val="0"/>
          <w:color w:val="000000" w:themeColor="text1"/>
          <w:sz w:val="40"/>
          <w:szCs w:val="40"/>
        </w:rPr>
      </w:pPr>
      <w:r>
        <w:rPr>
          <w:rStyle w:val="aa"/>
          <w:rFonts w:ascii="方正小标宋_GBK" w:eastAsia="方正小标宋_GBK" w:hAnsi="华文中宋" w:cs="Arial" w:hint="eastAsia"/>
          <w:b w:val="0"/>
          <w:bCs w:val="0"/>
          <w:color w:val="000000" w:themeColor="text1"/>
          <w:sz w:val="40"/>
          <w:szCs w:val="40"/>
        </w:rPr>
        <w:t>支持学前教育发展资金管理办法</w:t>
      </w:r>
    </w:p>
    <w:p w:rsidR="00C254E3" w:rsidRDefault="00C254E3">
      <w:pPr>
        <w:pStyle w:val="a7"/>
        <w:spacing w:before="0" w:beforeAutospacing="0" w:after="0" w:afterAutospacing="0" w:line="600" w:lineRule="exact"/>
        <w:jc w:val="center"/>
        <w:rPr>
          <w:rStyle w:val="aa"/>
          <w:rFonts w:ascii="方正小标宋简体" w:eastAsia="方正小标宋简体" w:hAnsi="华文中宋" w:cs="Arial"/>
          <w:b w:val="0"/>
          <w:bCs w:val="0"/>
          <w:color w:val="000000" w:themeColor="text1"/>
          <w:sz w:val="40"/>
          <w:szCs w:val="40"/>
        </w:rPr>
      </w:pPr>
    </w:p>
    <w:p w:rsidR="00C254E3" w:rsidRDefault="00653592">
      <w:pPr>
        <w:pStyle w:val="ac"/>
        <w:ind w:firstLine="640"/>
      </w:pPr>
      <w:r>
        <w:rPr>
          <w:rFonts w:ascii="黑体" w:eastAsia="黑体" w:hAnsi="黑体" w:hint="eastAsia"/>
        </w:rPr>
        <w:t>第一条</w:t>
      </w:r>
      <w:r w:rsidR="00A51EBE">
        <w:rPr>
          <w:rFonts w:ascii="黑体" w:eastAsia="黑体" w:hAnsi="黑体" w:hint="eastAsia"/>
        </w:rPr>
        <w:t xml:space="preserve">  </w:t>
      </w:r>
      <w:r>
        <w:rPr>
          <w:rFonts w:hint="eastAsia"/>
        </w:rPr>
        <w:t>为规范和加强支持学前教育发展资金管理，提高资金使用效益，</w:t>
      </w:r>
      <w:r>
        <w:rPr>
          <w:rFonts w:ascii="仿宋_GB2312" w:hint="eastAsia"/>
          <w:szCs w:val="32"/>
        </w:rPr>
        <w:t>根据国家预算管理有关规定</w:t>
      </w:r>
      <w:r>
        <w:rPr>
          <w:rFonts w:hint="eastAsia"/>
        </w:rPr>
        <w:t>，制定本办法。</w:t>
      </w:r>
    </w:p>
    <w:p w:rsidR="00C254E3" w:rsidRDefault="00653592">
      <w:pPr>
        <w:pStyle w:val="ac"/>
        <w:ind w:firstLine="640"/>
      </w:pPr>
      <w:r>
        <w:rPr>
          <w:rFonts w:ascii="黑体" w:eastAsia="黑体" w:hAnsi="黑体" w:hint="eastAsia"/>
        </w:rPr>
        <w:t>第二条</w:t>
      </w:r>
      <w:r w:rsidR="00A51EBE">
        <w:rPr>
          <w:rFonts w:ascii="黑体" w:eastAsia="黑体" w:hAnsi="黑体" w:hint="eastAsia"/>
        </w:rPr>
        <w:t xml:space="preserve">  </w:t>
      </w:r>
      <w:r>
        <w:rPr>
          <w:rFonts w:hint="eastAsia"/>
        </w:rPr>
        <w:t>本办法所称支持学前教育发展资金，是指中央财政用于支持学前教育发展的转移支付资金。</w:t>
      </w:r>
      <w:bookmarkStart w:id="0" w:name="_GoBack"/>
      <w:r>
        <w:rPr>
          <w:rFonts w:hint="eastAsia"/>
        </w:rPr>
        <w:t>实施期限根据教育领域中央与地方财政事权和支出责任划分、学前教育改革发展政策等确定。</w:t>
      </w:r>
    </w:p>
    <w:bookmarkEnd w:id="0"/>
    <w:p w:rsidR="00C254E3" w:rsidRDefault="00653592">
      <w:pPr>
        <w:pStyle w:val="ac"/>
        <w:ind w:firstLine="640"/>
      </w:pPr>
      <w:r>
        <w:rPr>
          <w:rFonts w:ascii="黑体" w:eastAsia="黑体" w:hAnsi="黑体" w:hint="eastAsia"/>
        </w:rPr>
        <w:t>第三条</w:t>
      </w:r>
      <w:r w:rsidR="00A51EBE">
        <w:rPr>
          <w:rFonts w:ascii="黑体" w:eastAsia="黑体" w:hAnsi="黑体" w:hint="eastAsia"/>
        </w:rPr>
        <w:t xml:space="preserve">  </w:t>
      </w:r>
      <w:r>
        <w:rPr>
          <w:rFonts w:ascii="仿宋_GB2312" w:hAnsi="黑体" w:hint="eastAsia"/>
        </w:rPr>
        <w:t>支持</w:t>
      </w:r>
      <w:r>
        <w:rPr>
          <w:rFonts w:ascii="仿宋_GB2312" w:hint="eastAsia"/>
        </w:rPr>
        <w:t>学</w:t>
      </w:r>
      <w:r>
        <w:rPr>
          <w:rFonts w:hint="eastAsia"/>
        </w:rPr>
        <w:t>前教育发展资金管理遵循“中央引导、省级统筹、突出重点、讲求绩效，规范透明、强化监督”的原则。</w:t>
      </w:r>
    </w:p>
    <w:p w:rsidR="00C254E3" w:rsidRDefault="00653592">
      <w:pPr>
        <w:pStyle w:val="ac"/>
        <w:ind w:firstLine="640"/>
      </w:pPr>
      <w:r>
        <w:rPr>
          <w:rFonts w:ascii="黑体" w:eastAsia="黑体" w:hAnsi="黑体" w:hint="eastAsia"/>
        </w:rPr>
        <w:t>第四条</w:t>
      </w:r>
      <w:r w:rsidR="00A51EBE">
        <w:rPr>
          <w:rFonts w:ascii="黑体" w:eastAsia="黑体" w:hAnsi="黑体" w:hint="eastAsia"/>
        </w:rPr>
        <w:t xml:space="preserve">  </w:t>
      </w:r>
      <w:r>
        <w:rPr>
          <w:rFonts w:ascii="仿宋_GB2312" w:hint="eastAsia"/>
        </w:rPr>
        <w:t>2019-2020年</w:t>
      </w:r>
      <w:r>
        <w:rPr>
          <w:rFonts w:hint="eastAsia"/>
        </w:rPr>
        <w:t>，支持学前教育发展资金主要用于以下方面：</w:t>
      </w:r>
    </w:p>
    <w:p w:rsidR="00C254E3" w:rsidRDefault="00653592">
      <w:pPr>
        <w:pStyle w:val="ac"/>
        <w:ind w:firstLine="640"/>
      </w:pPr>
      <w:r>
        <w:rPr>
          <w:rFonts w:hint="eastAsia"/>
        </w:rPr>
        <w:t>（一）支持地方坚持</w:t>
      </w:r>
      <w:r w:rsidR="00D94A0F">
        <w:rPr>
          <w:rFonts w:hint="eastAsia"/>
        </w:rPr>
        <w:t>公益普惠基本方向，</w:t>
      </w:r>
      <w:r>
        <w:rPr>
          <w:rFonts w:hint="eastAsia"/>
        </w:rPr>
        <w:t>公办民办并举多种形式扩大普惠性学前教育资源。通过新建、改扩建公办幼儿园，改善办园条件；支持各地扶持普惠性民办园发展等。</w:t>
      </w:r>
    </w:p>
    <w:p w:rsidR="00C254E3" w:rsidRDefault="00653592">
      <w:pPr>
        <w:pStyle w:val="ac"/>
        <w:ind w:firstLine="640"/>
      </w:pPr>
      <w:r>
        <w:rPr>
          <w:rFonts w:hint="eastAsia"/>
        </w:rPr>
        <w:t>（二）支持地方深化体制机制改革，健全“省地（市）统筹、以县为主”的管理体制，理顺机关、企事业单位、街道集体幼儿园办园体制，面向社会提供普惠性服务；健全成本分担机制，制定并落实公办园生均财政拨款标准（或生均</w:t>
      </w:r>
      <w:r>
        <w:rPr>
          <w:rFonts w:hint="eastAsia"/>
        </w:rPr>
        <w:lastRenderedPageBreak/>
        <w:t>公用经费标准）和普惠性民办园补助标准，建立动态调整机制。</w:t>
      </w:r>
      <w:r>
        <w:rPr>
          <w:rFonts w:hint="eastAsia"/>
        </w:rPr>
        <w:t xml:space="preserve"> </w:t>
      </w:r>
    </w:p>
    <w:p w:rsidR="00C254E3" w:rsidRDefault="00653592">
      <w:pPr>
        <w:pStyle w:val="ac"/>
        <w:ind w:firstLine="640"/>
      </w:pPr>
      <w:r>
        <w:rPr>
          <w:rFonts w:hint="eastAsia"/>
        </w:rPr>
        <w:t>（三）支持地方健全幼儿资助制度，资助普惠性幼儿园家庭经济困难幼儿、孤儿和残疾儿童接受学前教育，确保建档立卡等家庭经济困难幼儿优先获得资助。</w:t>
      </w:r>
    </w:p>
    <w:p w:rsidR="00C254E3" w:rsidRDefault="00653592">
      <w:pPr>
        <w:pStyle w:val="ac"/>
        <w:ind w:firstLine="640"/>
      </w:pPr>
      <w:r>
        <w:rPr>
          <w:rFonts w:hint="eastAsia"/>
        </w:rPr>
        <w:t>上述政策到期后，财政部、教育部根据党中央、国务院有关决策部署和学前教育改革发展新形势等情况，适时按程序调整支持学前教育发展资金支持方向。</w:t>
      </w:r>
    </w:p>
    <w:p w:rsidR="00C254E3" w:rsidRDefault="00653592">
      <w:pPr>
        <w:pStyle w:val="ac"/>
        <w:ind w:firstLine="640"/>
      </w:pPr>
      <w:r>
        <w:rPr>
          <w:rFonts w:ascii="黑体" w:eastAsia="黑体" w:hAnsi="黑体" w:hint="eastAsia"/>
        </w:rPr>
        <w:t>第五条</w:t>
      </w:r>
      <w:r w:rsidR="00A51EBE">
        <w:rPr>
          <w:rFonts w:ascii="黑体" w:eastAsia="黑体" w:hAnsi="黑体" w:hint="eastAsia"/>
        </w:rPr>
        <w:t xml:space="preserve">  </w:t>
      </w:r>
      <w:r>
        <w:rPr>
          <w:rFonts w:ascii="仿宋_GB2312" w:hAnsi="黑体" w:hint="eastAsia"/>
        </w:rPr>
        <w:t>支持</w:t>
      </w:r>
      <w:r>
        <w:rPr>
          <w:rFonts w:hint="eastAsia"/>
        </w:rPr>
        <w:t>学前教育发展资金由财政部会同教育部共同管理。教育部负责审核地方相关材料和数据，提供资金测算需要的基础数据，审核地方提出的区域绩效目标，并提出资金需求测算方案。财政部根据预算管理相关规定，会同教育部研究确定有关省份资金预算金额。</w:t>
      </w:r>
    </w:p>
    <w:p w:rsidR="00C254E3" w:rsidRDefault="00653592">
      <w:pPr>
        <w:pStyle w:val="ac"/>
        <w:ind w:firstLine="640"/>
      </w:pPr>
      <w:r>
        <w:rPr>
          <w:rFonts w:hint="eastAsia"/>
        </w:rPr>
        <w:t>省级财政、教育部门明确省级及省以下各级财政、教育部门资金安排、使用管理等方面的责任，切实加强资金管理。</w:t>
      </w:r>
    </w:p>
    <w:p w:rsidR="00C254E3" w:rsidRDefault="00653592">
      <w:pPr>
        <w:pStyle w:val="ac"/>
        <w:ind w:firstLine="640"/>
      </w:pPr>
      <w:r>
        <w:rPr>
          <w:rFonts w:ascii="黑体" w:eastAsia="黑体" w:hAnsi="黑体" w:hint="eastAsia"/>
        </w:rPr>
        <w:t>第六条</w:t>
      </w:r>
      <w:r w:rsidR="00A51EBE">
        <w:rPr>
          <w:rFonts w:ascii="黑体" w:eastAsia="黑体" w:hAnsi="黑体" w:hint="eastAsia"/>
        </w:rPr>
        <w:t xml:space="preserve">  </w:t>
      </w:r>
      <w:r>
        <w:rPr>
          <w:rFonts w:ascii="仿宋_GB2312" w:hAnsi="黑体" w:hint="eastAsia"/>
        </w:rPr>
        <w:t>支持</w:t>
      </w:r>
      <w:r>
        <w:rPr>
          <w:rFonts w:hint="eastAsia"/>
        </w:rPr>
        <w:t>学前教育发展资金采取因素法分配。首先按照中西部地区</w:t>
      </w:r>
      <w:r>
        <w:rPr>
          <w:rFonts w:ascii="仿宋_GB2312" w:hint="eastAsia"/>
        </w:rPr>
        <w:t>90%、东部地区10%</w:t>
      </w:r>
      <w:r>
        <w:rPr>
          <w:rFonts w:hint="eastAsia"/>
        </w:rPr>
        <w:t>（东部地区适当向困难省份倾斜）的区域因素确定分地区资金规模，在此基础上再按基础因素、投入因素、管理创新因素分配到有关省份，重点向</w:t>
      </w:r>
      <w:r>
        <w:rPr>
          <w:rFonts w:ascii="仿宋_GB2312" w:hint="eastAsia"/>
          <w:szCs w:val="32"/>
        </w:rPr>
        <w:t>中西部农村地区和深度贫困地区倾斜</w:t>
      </w:r>
      <w:r>
        <w:rPr>
          <w:rFonts w:hint="eastAsia"/>
        </w:rPr>
        <w:t>。其中：</w:t>
      </w:r>
    </w:p>
    <w:p w:rsidR="00C254E3" w:rsidRDefault="00653592">
      <w:pPr>
        <w:pStyle w:val="ac"/>
        <w:ind w:firstLine="643"/>
      </w:pPr>
      <w:r>
        <w:rPr>
          <w:rFonts w:hint="eastAsia"/>
          <w:b/>
        </w:rPr>
        <w:t>基础因素</w:t>
      </w:r>
      <w:r>
        <w:rPr>
          <w:rFonts w:ascii="仿宋_GB2312" w:hint="eastAsia"/>
          <w:b/>
        </w:rPr>
        <w:t>（权重</w:t>
      </w:r>
      <w:r>
        <w:rPr>
          <w:rFonts w:ascii="仿宋_GB2312"/>
          <w:b/>
        </w:rPr>
        <w:t>60</w:t>
      </w:r>
      <w:r>
        <w:rPr>
          <w:rFonts w:ascii="仿宋_GB2312" w:hint="eastAsia"/>
          <w:b/>
        </w:rPr>
        <w:t>%）</w:t>
      </w:r>
      <w:r>
        <w:rPr>
          <w:rFonts w:hint="eastAsia"/>
        </w:rPr>
        <w:t>主要包括在园幼儿数、普惠性幼儿园覆盖率（公办幼儿园和普惠性民办幼儿园在园幼儿数占</w:t>
      </w:r>
      <w:r>
        <w:rPr>
          <w:rFonts w:hint="eastAsia"/>
        </w:rPr>
        <w:lastRenderedPageBreak/>
        <w:t>在园幼儿总数的比例）、人均可用财力、贫困发生率、建档立卡等家庭经济困难幼儿数、深度贫困县数、深度贫困村数、专任教师数等子因素。各子因素数据通过相关统计资料获得。</w:t>
      </w:r>
    </w:p>
    <w:p w:rsidR="00C254E3" w:rsidRDefault="00653592">
      <w:pPr>
        <w:pStyle w:val="ac"/>
        <w:ind w:firstLine="643"/>
      </w:pPr>
      <w:r>
        <w:rPr>
          <w:rFonts w:hint="eastAsia"/>
          <w:b/>
        </w:rPr>
        <w:t>投入因素</w:t>
      </w:r>
      <w:r>
        <w:rPr>
          <w:rFonts w:ascii="仿宋_GB2312" w:hint="eastAsia"/>
          <w:b/>
        </w:rPr>
        <w:t>（权重</w:t>
      </w:r>
      <w:r>
        <w:rPr>
          <w:rFonts w:ascii="仿宋_GB2312"/>
          <w:b/>
        </w:rPr>
        <w:t>20</w:t>
      </w:r>
      <w:r>
        <w:rPr>
          <w:rFonts w:ascii="仿宋_GB2312" w:hint="eastAsia"/>
          <w:b/>
        </w:rPr>
        <w:t>%）</w:t>
      </w:r>
      <w:r>
        <w:rPr>
          <w:rFonts w:hint="eastAsia"/>
        </w:rPr>
        <w:t>主要包括生均一般公共预算学前教育支出及增长率、地方幼儿资助财政投入、社会力量投入（主要是民办学校举办者投入、社会捐赠等）总量等子因素。各子因素数据通过相关统计资料获得。</w:t>
      </w:r>
    </w:p>
    <w:p w:rsidR="00C254E3" w:rsidRDefault="00653592">
      <w:pPr>
        <w:pStyle w:val="ac"/>
        <w:ind w:firstLine="643"/>
        <w:rPr>
          <w:b/>
        </w:rPr>
      </w:pPr>
      <w:r>
        <w:rPr>
          <w:rFonts w:hint="eastAsia"/>
          <w:b/>
        </w:rPr>
        <w:t>管理创新因素</w:t>
      </w:r>
      <w:r>
        <w:rPr>
          <w:rFonts w:ascii="仿宋_GB2312" w:hint="eastAsia"/>
          <w:b/>
        </w:rPr>
        <w:t>（权重20%）</w:t>
      </w:r>
      <w:r>
        <w:rPr>
          <w:rFonts w:hint="eastAsia"/>
          <w:bCs/>
        </w:rPr>
        <w:t>主要包括绩效评价结果、落实中央指示要求等子因素。其中，绩效评价结果子因素主要由教育部会同财政部依据各省份工作任务完成情况及相关标准，组织评价获得数据。</w:t>
      </w:r>
      <w:r>
        <w:rPr>
          <w:rFonts w:hint="eastAsia"/>
        </w:rPr>
        <w:t>如财政部单独开展重点绩效评价，相关省份以财政部的评价结果为准。</w:t>
      </w:r>
      <w:r>
        <w:rPr>
          <w:rFonts w:hint="eastAsia"/>
          <w:bCs/>
        </w:rPr>
        <w:t>落实中央指示要求子因素，由教育部会同财政部确定数据。</w:t>
      </w:r>
    </w:p>
    <w:p w:rsidR="00C254E3" w:rsidRDefault="00653592">
      <w:pPr>
        <w:pStyle w:val="ac"/>
        <w:ind w:firstLine="640"/>
      </w:pPr>
      <w:r>
        <w:rPr>
          <w:rFonts w:hint="eastAsia"/>
        </w:rPr>
        <w:t>计算公式为：</w:t>
      </w:r>
    </w:p>
    <w:p w:rsidR="00C254E3" w:rsidRDefault="00653592">
      <w:pPr>
        <w:pStyle w:val="ac"/>
        <w:ind w:firstLine="640"/>
      </w:pPr>
      <w:r>
        <w:rPr>
          <w:rFonts w:hint="eastAsia"/>
        </w:rPr>
        <w:t>某省份支持学前教育发展资金</w:t>
      </w:r>
      <w:r>
        <w:rPr>
          <w:rFonts w:hint="eastAsia"/>
        </w:rPr>
        <w:t>=</w:t>
      </w:r>
      <w:r>
        <w:rPr>
          <w:rFonts w:hint="eastAsia"/>
        </w:rPr>
        <w:t>（该省份基础因素</w:t>
      </w:r>
      <w:r>
        <w:rPr>
          <w:rFonts w:hint="eastAsia"/>
        </w:rPr>
        <w:t>/</w:t>
      </w:r>
      <w:r>
        <w:rPr>
          <w:rFonts w:hint="eastAsia"/>
        </w:rPr>
        <w:t>∑有关省份基础因素×权重</w:t>
      </w:r>
      <w:r>
        <w:rPr>
          <w:rFonts w:hint="eastAsia"/>
        </w:rPr>
        <w:t>+</w:t>
      </w:r>
      <w:r>
        <w:rPr>
          <w:rFonts w:hint="eastAsia"/>
        </w:rPr>
        <w:t>该省份投入因素</w:t>
      </w:r>
      <w:r>
        <w:rPr>
          <w:rFonts w:hint="eastAsia"/>
        </w:rPr>
        <w:t>/</w:t>
      </w:r>
      <w:r>
        <w:rPr>
          <w:rFonts w:hint="eastAsia"/>
        </w:rPr>
        <w:t>∑有关省份投入因素×权重</w:t>
      </w:r>
      <w:r>
        <w:rPr>
          <w:rFonts w:hint="eastAsia"/>
        </w:rPr>
        <w:t>+</w:t>
      </w:r>
      <w:r>
        <w:rPr>
          <w:rFonts w:hint="eastAsia"/>
        </w:rPr>
        <w:t>该省份管理创新因素评分</w:t>
      </w:r>
      <w:r>
        <w:rPr>
          <w:rFonts w:hint="eastAsia"/>
        </w:rPr>
        <w:t>/</w:t>
      </w:r>
      <w:r>
        <w:rPr>
          <w:rFonts w:hint="eastAsia"/>
        </w:rPr>
        <w:t>∑有关省份管理创新因素评分×权重）×支持学前教育发展资金年度预算地区资金总额</w:t>
      </w:r>
    </w:p>
    <w:p w:rsidR="00C254E3" w:rsidRDefault="00653592">
      <w:pPr>
        <w:pStyle w:val="ac"/>
        <w:ind w:firstLine="640"/>
      </w:pPr>
      <w:r>
        <w:rPr>
          <w:rFonts w:hint="eastAsia"/>
        </w:rPr>
        <w:t>财政部、教育部根据党中央、国务院有关决策部署和学前教育改革发展新形势等情况，适时调整完善相关分配因素、权重、计算公式等，并按规定报经国务院批准后执行。</w:t>
      </w:r>
    </w:p>
    <w:p w:rsidR="00653592" w:rsidRDefault="00653592">
      <w:pPr>
        <w:pStyle w:val="ac"/>
        <w:ind w:firstLine="640"/>
      </w:pPr>
      <w:r>
        <w:rPr>
          <w:rFonts w:ascii="黑体" w:eastAsia="黑体" w:hAnsi="黑体" w:hint="eastAsia"/>
        </w:rPr>
        <w:lastRenderedPageBreak/>
        <w:t>第七条</w:t>
      </w:r>
      <w:r w:rsidR="00A51EBE">
        <w:rPr>
          <w:rFonts w:ascii="黑体" w:eastAsia="黑体" w:hAnsi="黑体" w:hint="eastAsia"/>
        </w:rPr>
        <w:t xml:space="preserve">  </w:t>
      </w:r>
      <w:r>
        <w:rPr>
          <w:rFonts w:hint="eastAsia"/>
        </w:rPr>
        <w:t>省级财政、教育部门应当于每年</w:t>
      </w:r>
      <w:r>
        <w:t>2</w:t>
      </w:r>
      <w:r>
        <w:rPr>
          <w:rFonts w:hint="eastAsia"/>
        </w:rPr>
        <w:t>月底前向财政部、教育部报送当年支持学前教育发展资金申报材料，并抄送</w:t>
      </w:r>
      <w:r w:rsidR="00A51EBE">
        <w:rPr>
          <w:rFonts w:hint="eastAsia"/>
        </w:rPr>
        <w:t>财政部</w:t>
      </w:r>
      <w:r>
        <w:rPr>
          <w:rFonts w:hint="eastAsia"/>
        </w:rPr>
        <w:t>当地监管局。申报材料主要包括：</w:t>
      </w:r>
    </w:p>
    <w:p w:rsidR="00C254E3" w:rsidRDefault="00653592">
      <w:pPr>
        <w:pStyle w:val="ac"/>
        <w:ind w:firstLine="640"/>
      </w:pPr>
      <w:r>
        <w:rPr>
          <w:rFonts w:hint="eastAsia"/>
        </w:rPr>
        <w:t>（一）上年度工作总结，包括上年度支持学前教育发展资金使用情况、年度绩效目标完成情况、绩效评价结果、地方财政投入情况、主要管理措施、问题分析及对策等。</w:t>
      </w:r>
    </w:p>
    <w:p w:rsidR="00C254E3" w:rsidRDefault="00653592">
      <w:pPr>
        <w:pStyle w:val="ac"/>
        <w:ind w:firstLine="640"/>
      </w:pPr>
      <w:r>
        <w:rPr>
          <w:rFonts w:hint="eastAsia"/>
        </w:rPr>
        <w:t>（二）当年工作计划，主要包括当年全省工作目标和支持学前教育发展资金区域绩效目标、重点任务和资金安排计划，绩效指标要指向明确、细化量化、合理可行、相应匹配。</w:t>
      </w:r>
    </w:p>
    <w:p w:rsidR="00C254E3" w:rsidRDefault="00653592">
      <w:pPr>
        <w:pStyle w:val="ac"/>
        <w:ind w:firstLine="640"/>
      </w:pPr>
      <w:r>
        <w:rPr>
          <w:rFonts w:ascii="黑体" w:eastAsia="黑体" w:hAnsi="黑体" w:hint="eastAsia"/>
        </w:rPr>
        <w:t>第八条</w:t>
      </w:r>
      <w:r w:rsidR="00A51EBE">
        <w:rPr>
          <w:rFonts w:ascii="黑体" w:eastAsia="黑体" w:hAnsi="黑体" w:hint="eastAsia"/>
        </w:rPr>
        <w:t xml:space="preserve">  </w:t>
      </w:r>
      <w:r>
        <w:rPr>
          <w:rFonts w:cs="仿宋_GB2312" w:hint="eastAsia"/>
        </w:rPr>
        <w:t>财政部</w:t>
      </w:r>
      <w:r>
        <w:rPr>
          <w:rFonts w:hint="eastAsia"/>
        </w:rPr>
        <w:t>于每年全国人民代表大会批准中央预算后三十日内，会同教育部正式下达资金预算。每年</w:t>
      </w:r>
      <w:r>
        <w:rPr>
          <w:rFonts w:ascii="仿宋_GB2312" w:hint="eastAsia"/>
        </w:rPr>
        <w:t>10月31</w:t>
      </w:r>
      <w:r>
        <w:rPr>
          <w:rFonts w:hint="eastAsia"/>
        </w:rPr>
        <w:t>日前，提前下达下一年度资金预计数。省级财政在收到资金预算后，应当会同</w:t>
      </w:r>
      <w:r w:rsidR="00A51EBE">
        <w:rPr>
          <w:rFonts w:hint="eastAsia"/>
        </w:rPr>
        <w:t>省级</w:t>
      </w:r>
      <w:r>
        <w:rPr>
          <w:rFonts w:hint="eastAsia"/>
        </w:rPr>
        <w:t>教育部门在三十日内按照预算级次合理分配、及时下达本行政区域县级以上各级政府部门，并抄送财政部当地监管局。</w:t>
      </w:r>
    </w:p>
    <w:p w:rsidR="00C254E3" w:rsidRDefault="00653592">
      <w:pPr>
        <w:pStyle w:val="ac"/>
        <w:ind w:firstLine="640"/>
      </w:pPr>
      <w:r>
        <w:rPr>
          <w:rFonts w:ascii="黑体" w:eastAsia="黑体" w:hAnsi="黑体" w:hint="eastAsia"/>
        </w:rPr>
        <w:t>第九条</w:t>
      </w:r>
      <w:r w:rsidR="00A51EBE">
        <w:rPr>
          <w:rFonts w:ascii="黑体" w:eastAsia="黑体" w:hAnsi="黑体" w:hint="eastAsia"/>
        </w:rPr>
        <w:t xml:space="preserve">  </w:t>
      </w:r>
      <w:r>
        <w:rPr>
          <w:rFonts w:ascii="仿宋_GB2312" w:hAnsi="黑体" w:hint="eastAsia"/>
        </w:rPr>
        <w:t>支持</w:t>
      </w:r>
      <w:r>
        <w:rPr>
          <w:rFonts w:hint="eastAsia"/>
        </w:rPr>
        <w:t>学前教育发展资金支付执行国库集中支付制度。涉及政府采购的，按照政府采购有关法律法规和有关制度执行。属于基本建设的项目，应当严格履行基本建设程序，执行相关建设标准和要求，确保工程质量。</w:t>
      </w:r>
    </w:p>
    <w:p w:rsidR="00C254E3" w:rsidRDefault="00653592">
      <w:pPr>
        <w:pStyle w:val="ac"/>
        <w:ind w:firstLine="640"/>
      </w:pPr>
      <w:r>
        <w:rPr>
          <w:rFonts w:ascii="黑体" w:eastAsia="黑体" w:hAnsi="黑体" w:hint="eastAsia"/>
        </w:rPr>
        <w:t>第十条</w:t>
      </w:r>
      <w:r w:rsidR="00A51EBE">
        <w:rPr>
          <w:rFonts w:ascii="黑体" w:eastAsia="黑体" w:hAnsi="黑体" w:hint="eastAsia"/>
        </w:rPr>
        <w:t xml:space="preserve">  </w:t>
      </w:r>
      <w:r>
        <w:rPr>
          <w:rFonts w:hint="eastAsia"/>
        </w:rPr>
        <w:t>省级财政、教育部门在分配支持学前教育发展资金时，应当结合本地区年度重点工作和省级财政安排相关资金，加大省级统筹力度，重点向</w:t>
      </w:r>
      <w:r w:rsidR="00D94A0F">
        <w:rPr>
          <w:rFonts w:hint="eastAsia"/>
        </w:rPr>
        <w:t>农村地区、</w:t>
      </w:r>
      <w:r>
        <w:rPr>
          <w:rFonts w:hint="eastAsia"/>
        </w:rPr>
        <w:t>革命老区、边</w:t>
      </w:r>
      <w:r>
        <w:rPr>
          <w:rFonts w:hint="eastAsia"/>
        </w:rPr>
        <w:lastRenderedPageBreak/>
        <w:t>疆地区、民族地区和贫困地区倾斜。要做好与发展改革部门安排基本建设项目等各渠道资金的统筹和对接，防止资金、项目安排重复交叉或缺位。</w:t>
      </w:r>
    </w:p>
    <w:p w:rsidR="00C254E3" w:rsidRDefault="00653592">
      <w:pPr>
        <w:pStyle w:val="ac"/>
        <w:ind w:firstLine="640"/>
      </w:pPr>
      <w:r>
        <w:rPr>
          <w:rFonts w:hint="eastAsia"/>
        </w:rPr>
        <w:t>县（区）级财政、教育部门应当落实资金管理主体责任，加强区域内相关教育经费的统筹安排和使用，指导和督促本地区幼儿园健全财务、会计、资产管理制度。加强幼儿园预算管理，细化预算编制，硬化预算执行，强化预算监督；规范幼儿园财务管理，确保资金使用安全、规范和高效。</w:t>
      </w:r>
    </w:p>
    <w:p w:rsidR="00C254E3" w:rsidRDefault="00653592">
      <w:pPr>
        <w:pStyle w:val="ac"/>
        <w:ind w:firstLine="640"/>
      </w:pPr>
      <w:r>
        <w:rPr>
          <w:rFonts w:ascii="仿宋_GB2312" w:hint="eastAsia"/>
        </w:rPr>
        <w:t>各级财政、教育部门要加强</w:t>
      </w:r>
      <w:r>
        <w:rPr>
          <w:rFonts w:ascii="仿宋_GB2312" w:hAnsi="华文仿宋" w:hint="eastAsia"/>
          <w:szCs w:val="32"/>
        </w:rPr>
        <w:t>财政风险控制，强化流程控制、依法合规分配和使用资金，实行不相容岗位（职责）分离控制。</w:t>
      </w:r>
    </w:p>
    <w:p w:rsidR="00C254E3" w:rsidRDefault="00653592">
      <w:pPr>
        <w:pStyle w:val="ac"/>
        <w:ind w:firstLine="640"/>
      </w:pPr>
      <w:r>
        <w:rPr>
          <w:rFonts w:ascii="黑体" w:eastAsia="黑体" w:hAnsi="黑体" w:hint="eastAsia"/>
        </w:rPr>
        <w:t>第十一条</w:t>
      </w:r>
      <w:r w:rsidR="00A51EBE">
        <w:rPr>
          <w:rFonts w:ascii="黑体" w:eastAsia="黑体" w:hAnsi="黑体" w:hint="eastAsia"/>
        </w:rPr>
        <w:t xml:space="preserve">  </w:t>
      </w:r>
      <w:r>
        <w:rPr>
          <w:rFonts w:ascii="仿宋_GB2312" w:hAnsi="黑体" w:hint="eastAsia"/>
        </w:rPr>
        <w:t>支持</w:t>
      </w:r>
      <w:r>
        <w:rPr>
          <w:rFonts w:hint="eastAsia"/>
        </w:rPr>
        <w:t>学前教育发展资金原则上应在当年执行完毕，年度未支出的资金按财政部结转结余资金管理有关规定处理。</w:t>
      </w:r>
    </w:p>
    <w:p w:rsidR="00C254E3" w:rsidRDefault="00653592">
      <w:pPr>
        <w:ind w:firstLineChars="221" w:firstLine="707"/>
      </w:pPr>
      <w:r>
        <w:rPr>
          <w:rFonts w:ascii="黑体" w:eastAsia="黑体" w:hAnsi="黑体" w:hint="eastAsia"/>
        </w:rPr>
        <w:t>第十二条</w:t>
      </w:r>
      <w:r w:rsidR="00A51EBE">
        <w:rPr>
          <w:rFonts w:ascii="黑体" w:eastAsia="黑体" w:hAnsi="黑体" w:hint="eastAsia"/>
        </w:rPr>
        <w:t xml:space="preserve">  </w:t>
      </w:r>
      <w:r>
        <w:rPr>
          <w:rFonts w:hint="eastAsia"/>
        </w:rPr>
        <w:t>各级财政、教育部门要按照全面实施预算绩效管理的要求，建立健全预算绩效管理机制，按规定科学合理设定绩效目标，对照绩效目标做好绩效监控，认真组织开展绩效评价，强化评价结果应用，做好绩效信息公开，提高资金配置效率和使用效益。财政部、教育部根据工作需要适时组织开展绩效评价。</w:t>
      </w:r>
    </w:p>
    <w:p w:rsidR="00C254E3" w:rsidRDefault="00653592">
      <w:pPr>
        <w:ind w:firstLineChars="221" w:firstLine="707"/>
      </w:pPr>
      <w:r>
        <w:rPr>
          <w:rFonts w:ascii="黑体" w:eastAsia="黑体" w:hAnsi="黑体" w:hint="eastAsia"/>
        </w:rPr>
        <w:t>第十三条</w:t>
      </w:r>
      <w:r w:rsidR="00A51EBE">
        <w:rPr>
          <w:rFonts w:ascii="黑体" w:eastAsia="黑体" w:hAnsi="黑体" w:hint="eastAsia"/>
        </w:rPr>
        <w:t xml:space="preserve">  </w:t>
      </w:r>
      <w:r>
        <w:rPr>
          <w:rFonts w:hint="eastAsia"/>
        </w:rPr>
        <w:t>财政部各地监管局应当按照工作职责和财政部要求，对资金实施监管。地方各级财政部门应当会同同</w:t>
      </w:r>
      <w:r>
        <w:rPr>
          <w:rFonts w:hint="eastAsia"/>
        </w:rPr>
        <w:lastRenderedPageBreak/>
        <w:t>级教育部门，按照各自职责加强项目审核申报、经费使用管理等工作，建立“谁使用、谁负责”的责任机制。严禁将资金用于平衡预算、偿还债务、支付利息、对外投资等支出，不得从资金中提取工作经费或管理经费。</w:t>
      </w:r>
    </w:p>
    <w:p w:rsidR="00C254E3" w:rsidRDefault="00653592">
      <w:pPr>
        <w:ind w:firstLineChars="221" w:firstLine="707"/>
        <w:rPr>
          <w:rFonts w:ascii="黑体" w:eastAsia="黑体" w:hAnsi="黑体"/>
        </w:rPr>
      </w:pPr>
      <w:r>
        <w:rPr>
          <w:rFonts w:ascii="黑体" w:eastAsia="黑体" w:hAnsi="黑体" w:hint="eastAsia"/>
        </w:rPr>
        <w:t>第十四条</w:t>
      </w:r>
      <w:r w:rsidR="00A51EBE">
        <w:rPr>
          <w:rFonts w:ascii="黑体" w:eastAsia="黑体" w:hAnsi="黑体" w:hint="eastAsia"/>
        </w:rPr>
        <w:t xml:space="preserve">  </w:t>
      </w:r>
      <w:r>
        <w:rPr>
          <w:rFonts w:hint="eastAsia"/>
        </w:rPr>
        <w:t>财政、教育部门及其工作人员存在违反本办法规定滥用职权、玩忽职守、徇私舞弊等违法违纪行为的，依照《中华人民共和国预算法》</w:t>
      </w:r>
      <w:r w:rsidR="001B1B4F">
        <w:rPr>
          <w:rFonts w:hint="eastAsia"/>
        </w:rPr>
        <w:t>、</w:t>
      </w:r>
      <w:r>
        <w:rPr>
          <w:rFonts w:hint="eastAsia"/>
        </w:rPr>
        <w:t>《中华人民共和国公务员法》</w:t>
      </w:r>
      <w:r w:rsidR="001B1B4F">
        <w:rPr>
          <w:rFonts w:hint="eastAsia"/>
        </w:rPr>
        <w:t>、</w:t>
      </w:r>
      <w:r>
        <w:rPr>
          <w:rFonts w:hint="eastAsia"/>
        </w:rPr>
        <w:t>《中华人民共和国监察法》</w:t>
      </w:r>
      <w:r w:rsidR="001B1B4F">
        <w:rPr>
          <w:rFonts w:hint="eastAsia"/>
        </w:rPr>
        <w:t>、</w:t>
      </w:r>
      <w:r>
        <w:rPr>
          <w:rFonts w:hint="eastAsia"/>
        </w:rPr>
        <w:t>《财政违法行为处罚处分条例》等国家有关规定追究相应责任；涉嫌犯罪的，依法移送司法机关处理。</w:t>
      </w:r>
    </w:p>
    <w:p w:rsidR="00C254E3" w:rsidRDefault="00653592">
      <w:pPr>
        <w:ind w:firstLineChars="221" w:firstLine="707"/>
      </w:pPr>
      <w:r>
        <w:rPr>
          <w:rFonts w:ascii="黑体" w:eastAsia="黑体" w:hAnsi="黑体" w:hint="eastAsia"/>
        </w:rPr>
        <w:t>第十五条</w:t>
      </w:r>
      <w:r w:rsidR="00A51EBE">
        <w:rPr>
          <w:rFonts w:ascii="黑体" w:eastAsia="黑体" w:hAnsi="黑体" w:hint="eastAsia"/>
        </w:rPr>
        <w:t xml:space="preserve">  </w:t>
      </w:r>
      <w:r>
        <w:rPr>
          <w:rFonts w:hint="eastAsia"/>
        </w:rPr>
        <w:t>申报使用资金的部门、单位及个人存在违反本办法规定的财政违法违规行为的，依照《中华人民共和国预算法》</w:t>
      </w:r>
      <w:r w:rsidR="001B1B4F">
        <w:rPr>
          <w:rFonts w:hint="eastAsia"/>
        </w:rPr>
        <w:t>、</w:t>
      </w:r>
      <w:r>
        <w:rPr>
          <w:rFonts w:hint="eastAsia"/>
        </w:rPr>
        <w:t>《财政违法行为处罚处分条例》等国家有关规定追究相应责任。</w:t>
      </w:r>
    </w:p>
    <w:p w:rsidR="00C254E3" w:rsidRDefault="00653592">
      <w:pPr>
        <w:ind w:firstLineChars="221" w:firstLine="707"/>
      </w:pPr>
      <w:r>
        <w:rPr>
          <w:rFonts w:ascii="黑体" w:eastAsia="黑体" w:hAnsi="黑体" w:hint="eastAsia"/>
        </w:rPr>
        <w:t>第十六条</w:t>
      </w:r>
      <w:r w:rsidR="00A51EBE">
        <w:rPr>
          <w:rFonts w:ascii="黑体" w:eastAsia="黑体" w:hAnsi="黑体" w:hint="eastAsia"/>
        </w:rPr>
        <w:t xml:space="preserve">  </w:t>
      </w:r>
      <w:r>
        <w:rPr>
          <w:rFonts w:hint="eastAsia"/>
        </w:rPr>
        <w:t>本办法由财政部、教育部负责解释。各省级财政、教育部门可以根据本办法，结合各地实际，制定具体管理办法。</w:t>
      </w:r>
    </w:p>
    <w:p w:rsidR="00C254E3" w:rsidRDefault="00653592">
      <w:pPr>
        <w:ind w:firstLineChars="221" w:firstLine="707"/>
      </w:pPr>
      <w:r>
        <w:rPr>
          <w:rFonts w:ascii="黑体" w:eastAsia="黑体" w:hAnsi="黑体" w:hint="eastAsia"/>
        </w:rPr>
        <w:t>第十七条</w:t>
      </w:r>
      <w:r w:rsidR="00A51EBE">
        <w:rPr>
          <w:rFonts w:ascii="黑体" w:eastAsia="黑体" w:hAnsi="黑体" w:hint="eastAsia"/>
        </w:rPr>
        <w:t xml:space="preserve">  </w:t>
      </w:r>
      <w:r>
        <w:rPr>
          <w:rFonts w:hint="eastAsia"/>
        </w:rPr>
        <w:t>本办法自</w:t>
      </w:r>
      <w:r w:rsidR="00A51EBE">
        <w:rPr>
          <w:rFonts w:ascii="仿宋_GB2312" w:hint="eastAsia"/>
        </w:rPr>
        <w:t>印发之</w:t>
      </w:r>
      <w:r>
        <w:rPr>
          <w:rFonts w:ascii="仿宋_GB2312" w:hint="eastAsia"/>
        </w:rPr>
        <w:t>日</w:t>
      </w:r>
      <w:r>
        <w:rPr>
          <w:rFonts w:hint="eastAsia"/>
        </w:rPr>
        <w:t>起施行。《财政部教育部关于印发</w:t>
      </w:r>
      <w:r>
        <w:rPr>
          <w:rFonts w:hint="eastAsia"/>
        </w:rPr>
        <w:t>&lt;</w:t>
      </w:r>
      <w:r>
        <w:rPr>
          <w:rFonts w:hint="eastAsia"/>
        </w:rPr>
        <w:t>中央财政支持学前教育发展资金管理办法</w:t>
      </w:r>
      <w:r>
        <w:t>&gt;</w:t>
      </w:r>
      <w:r>
        <w:rPr>
          <w:rFonts w:hint="eastAsia"/>
        </w:rPr>
        <w:t>的通知》（财科教</w:t>
      </w:r>
      <w:r>
        <w:rPr>
          <w:rFonts w:ascii="仿宋_GB2312" w:hint="eastAsia"/>
        </w:rPr>
        <w:t>〔2017〕131</w:t>
      </w:r>
      <w:r>
        <w:rPr>
          <w:rFonts w:hint="eastAsia"/>
        </w:rPr>
        <w:t>号）同时废止。</w:t>
      </w:r>
    </w:p>
    <w:sectPr w:rsidR="00C254E3" w:rsidSect="00C254E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A24" w:rsidRDefault="00E13A24" w:rsidP="00C254E3">
      <w:r>
        <w:separator/>
      </w:r>
    </w:p>
  </w:endnote>
  <w:endnote w:type="continuationSeparator" w:id="1">
    <w:p w:rsidR="00E13A24" w:rsidRDefault="00E13A24" w:rsidP="00C254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33142"/>
    </w:sdtPr>
    <w:sdtContent>
      <w:p w:rsidR="00C254E3" w:rsidRDefault="00005F15">
        <w:pPr>
          <w:pStyle w:val="a5"/>
          <w:jc w:val="center"/>
        </w:pPr>
        <w:r w:rsidRPr="00005F15">
          <w:fldChar w:fldCharType="begin"/>
        </w:r>
        <w:r w:rsidR="00653592">
          <w:instrText xml:space="preserve"> PAGE   \* MERGEFORMAT </w:instrText>
        </w:r>
        <w:r w:rsidRPr="00005F15">
          <w:fldChar w:fldCharType="separate"/>
        </w:r>
        <w:r w:rsidR="001B1B4F" w:rsidRPr="001B1B4F">
          <w:rPr>
            <w:noProof/>
            <w:lang w:val="zh-CN"/>
          </w:rPr>
          <w:t>6</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A24" w:rsidRDefault="00E13A24" w:rsidP="00C254E3">
      <w:r>
        <w:separator/>
      </w:r>
    </w:p>
  </w:footnote>
  <w:footnote w:type="continuationSeparator" w:id="1">
    <w:p w:rsidR="00E13A24" w:rsidRDefault="00E13A24" w:rsidP="00C254E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家玉">
    <w15:presenceInfo w15:providerId="None" w15:userId="黄家玉"/>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0E91"/>
    <w:rsid w:val="00005F15"/>
    <w:rsid w:val="00006696"/>
    <w:rsid w:val="00006943"/>
    <w:rsid w:val="000108FE"/>
    <w:rsid w:val="000127A1"/>
    <w:rsid w:val="000128BF"/>
    <w:rsid w:val="0001313C"/>
    <w:rsid w:val="000133C6"/>
    <w:rsid w:val="00014143"/>
    <w:rsid w:val="000166F3"/>
    <w:rsid w:val="0002118A"/>
    <w:rsid w:val="00021872"/>
    <w:rsid w:val="0002308E"/>
    <w:rsid w:val="000325A9"/>
    <w:rsid w:val="000427C4"/>
    <w:rsid w:val="00043AA2"/>
    <w:rsid w:val="0004443F"/>
    <w:rsid w:val="00046864"/>
    <w:rsid w:val="000525CA"/>
    <w:rsid w:val="00052CA2"/>
    <w:rsid w:val="00053979"/>
    <w:rsid w:val="000539B6"/>
    <w:rsid w:val="00066139"/>
    <w:rsid w:val="000675C3"/>
    <w:rsid w:val="000713C9"/>
    <w:rsid w:val="00071D02"/>
    <w:rsid w:val="00073213"/>
    <w:rsid w:val="00086AF9"/>
    <w:rsid w:val="00086F29"/>
    <w:rsid w:val="0008707F"/>
    <w:rsid w:val="00091053"/>
    <w:rsid w:val="000958B5"/>
    <w:rsid w:val="00097EEF"/>
    <w:rsid w:val="000A715A"/>
    <w:rsid w:val="000B43D3"/>
    <w:rsid w:val="000B5466"/>
    <w:rsid w:val="000C3988"/>
    <w:rsid w:val="000C72E4"/>
    <w:rsid w:val="000E6544"/>
    <w:rsid w:val="000F2129"/>
    <w:rsid w:val="000F2293"/>
    <w:rsid w:val="000F3A81"/>
    <w:rsid w:val="00101C5E"/>
    <w:rsid w:val="00104662"/>
    <w:rsid w:val="00105757"/>
    <w:rsid w:val="00105C46"/>
    <w:rsid w:val="00105F99"/>
    <w:rsid w:val="00110D48"/>
    <w:rsid w:val="00112589"/>
    <w:rsid w:val="00116F9F"/>
    <w:rsid w:val="00117954"/>
    <w:rsid w:val="00117C66"/>
    <w:rsid w:val="001203B6"/>
    <w:rsid w:val="0012366E"/>
    <w:rsid w:val="00125C62"/>
    <w:rsid w:val="00126D24"/>
    <w:rsid w:val="00132356"/>
    <w:rsid w:val="00132AA3"/>
    <w:rsid w:val="00136809"/>
    <w:rsid w:val="00142FE8"/>
    <w:rsid w:val="00143444"/>
    <w:rsid w:val="00144554"/>
    <w:rsid w:val="00150429"/>
    <w:rsid w:val="00154FAF"/>
    <w:rsid w:val="00160310"/>
    <w:rsid w:val="00160A49"/>
    <w:rsid w:val="00173D81"/>
    <w:rsid w:val="001761A4"/>
    <w:rsid w:val="00186085"/>
    <w:rsid w:val="001877E0"/>
    <w:rsid w:val="00190231"/>
    <w:rsid w:val="00191E26"/>
    <w:rsid w:val="00191F9F"/>
    <w:rsid w:val="001A1377"/>
    <w:rsid w:val="001A24D1"/>
    <w:rsid w:val="001A4016"/>
    <w:rsid w:val="001A53C9"/>
    <w:rsid w:val="001A5B10"/>
    <w:rsid w:val="001A7007"/>
    <w:rsid w:val="001B11E2"/>
    <w:rsid w:val="001B1525"/>
    <w:rsid w:val="001B1B4F"/>
    <w:rsid w:val="001B4519"/>
    <w:rsid w:val="001C0608"/>
    <w:rsid w:val="001C1AAB"/>
    <w:rsid w:val="001C2C9E"/>
    <w:rsid w:val="001C40AF"/>
    <w:rsid w:val="001C6AD2"/>
    <w:rsid w:val="001D2FE4"/>
    <w:rsid w:val="001D6F86"/>
    <w:rsid w:val="001E26B6"/>
    <w:rsid w:val="001F42AE"/>
    <w:rsid w:val="001F4C0C"/>
    <w:rsid w:val="001F58D5"/>
    <w:rsid w:val="00200D31"/>
    <w:rsid w:val="002025E8"/>
    <w:rsid w:val="00212711"/>
    <w:rsid w:val="00213C84"/>
    <w:rsid w:val="00214576"/>
    <w:rsid w:val="00215005"/>
    <w:rsid w:val="00215161"/>
    <w:rsid w:val="00220C92"/>
    <w:rsid w:val="002258BA"/>
    <w:rsid w:val="00227AEB"/>
    <w:rsid w:val="00232681"/>
    <w:rsid w:val="0023469A"/>
    <w:rsid w:val="00235BA8"/>
    <w:rsid w:val="00235CF0"/>
    <w:rsid w:val="00236C10"/>
    <w:rsid w:val="00241138"/>
    <w:rsid w:val="00242874"/>
    <w:rsid w:val="00243CA9"/>
    <w:rsid w:val="00243E0B"/>
    <w:rsid w:val="00257E05"/>
    <w:rsid w:val="00260F1D"/>
    <w:rsid w:val="00261482"/>
    <w:rsid w:val="00265191"/>
    <w:rsid w:val="0026645E"/>
    <w:rsid w:val="00271EC5"/>
    <w:rsid w:val="00274122"/>
    <w:rsid w:val="002908C9"/>
    <w:rsid w:val="0029129B"/>
    <w:rsid w:val="00291511"/>
    <w:rsid w:val="00292EAC"/>
    <w:rsid w:val="002952F6"/>
    <w:rsid w:val="00296A2A"/>
    <w:rsid w:val="002A37B5"/>
    <w:rsid w:val="002B6C95"/>
    <w:rsid w:val="002C7FE0"/>
    <w:rsid w:val="002D1B03"/>
    <w:rsid w:val="002D30D2"/>
    <w:rsid w:val="002D3EEB"/>
    <w:rsid w:val="002D41B2"/>
    <w:rsid w:val="002D488C"/>
    <w:rsid w:val="002D4BAE"/>
    <w:rsid w:val="002E1C4A"/>
    <w:rsid w:val="002E24B7"/>
    <w:rsid w:val="002E41BC"/>
    <w:rsid w:val="002E7E66"/>
    <w:rsid w:val="002F01EA"/>
    <w:rsid w:val="002F2351"/>
    <w:rsid w:val="002F32E0"/>
    <w:rsid w:val="00300F13"/>
    <w:rsid w:val="00306517"/>
    <w:rsid w:val="0031073C"/>
    <w:rsid w:val="003107A2"/>
    <w:rsid w:val="00311E94"/>
    <w:rsid w:val="00312CE3"/>
    <w:rsid w:val="003219DE"/>
    <w:rsid w:val="00325C90"/>
    <w:rsid w:val="003333F3"/>
    <w:rsid w:val="00333D3F"/>
    <w:rsid w:val="00334BEF"/>
    <w:rsid w:val="003456DD"/>
    <w:rsid w:val="00346784"/>
    <w:rsid w:val="00353649"/>
    <w:rsid w:val="003544C8"/>
    <w:rsid w:val="00357054"/>
    <w:rsid w:val="00360E8C"/>
    <w:rsid w:val="00361110"/>
    <w:rsid w:val="003626FA"/>
    <w:rsid w:val="00362D08"/>
    <w:rsid w:val="003653E5"/>
    <w:rsid w:val="00365B08"/>
    <w:rsid w:val="00374447"/>
    <w:rsid w:val="00376120"/>
    <w:rsid w:val="0038705E"/>
    <w:rsid w:val="00392ACC"/>
    <w:rsid w:val="0039320B"/>
    <w:rsid w:val="003A297C"/>
    <w:rsid w:val="003B3E42"/>
    <w:rsid w:val="003B5B9C"/>
    <w:rsid w:val="003B6BE6"/>
    <w:rsid w:val="003B720F"/>
    <w:rsid w:val="003C3454"/>
    <w:rsid w:val="003C380F"/>
    <w:rsid w:val="003C38FB"/>
    <w:rsid w:val="003D109D"/>
    <w:rsid w:val="003D487B"/>
    <w:rsid w:val="003D4E94"/>
    <w:rsid w:val="003F004A"/>
    <w:rsid w:val="003F07D3"/>
    <w:rsid w:val="003F1681"/>
    <w:rsid w:val="003F2793"/>
    <w:rsid w:val="003F5279"/>
    <w:rsid w:val="003F6541"/>
    <w:rsid w:val="003F7190"/>
    <w:rsid w:val="004101BB"/>
    <w:rsid w:val="0041465C"/>
    <w:rsid w:val="004152A0"/>
    <w:rsid w:val="004165C2"/>
    <w:rsid w:val="00423E53"/>
    <w:rsid w:val="00426535"/>
    <w:rsid w:val="00427A42"/>
    <w:rsid w:val="0043154B"/>
    <w:rsid w:val="00432841"/>
    <w:rsid w:val="00432FEC"/>
    <w:rsid w:val="00434557"/>
    <w:rsid w:val="00435EF5"/>
    <w:rsid w:val="00440B28"/>
    <w:rsid w:val="00442C33"/>
    <w:rsid w:val="004450F5"/>
    <w:rsid w:val="00454364"/>
    <w:rsid w:val="00454E42"/>
    <w:rsid w:val="00460E91"/>
    <w:rsid w:val="004644C6"/>
    <w:rsid w:val="004706A7"/>
    <w:rsid w:val="0047186D"/>
    <w:rsid w:val="0047438E"/>
    <w:rsid w:val="0047452A"/>
    <w:rsid w:val="0047460C"/>
    <w:rsid w:val="00475789"/>
    <w:rsid w:val="00487F75"/>
    <w:rsid w:val="00491347"/>
    <w:rsid w:val="004923D4"/>
    <w:rsid w:val="004A3027"/>
    <w:rsid w:val="004B0E00"/>
    <w:rsid w:val="004B1DDB"/>
    <w:rsid w:val="004B3896"/>
    <w:rsid w:val="004C04CF"/>
    <w:rsid w:val="004C2339"/>
    <w:rsid w:val="004C5007"/>
    <w:rsid w:val="004C6300"/>
    <w:rsid w:val="004C7FCB"/>
    <w:rsid w:val="004D357A"/>
    <w:rsid w:val="004E0C91"/>
    <w:rsid w:val="004E3968"/>
    <w:rsid w:val="004E4622"/>
    <w:rsid w:val="004E61DB"/>
    <w:rsid w:val="004E6231"/>
    <w:rsid w:val="004F1E7B"/>
    <w:rsid w:val="004F7CD6"/>
    <w:rsid w:val="005070FC"/>
    <w:rsid w:val="00510320"/>
    <w:rsid w:val="005132B4"/>
    <w:rsid w:val="005137FC"/>
    <w:rsid w:val="00516FA1"/>
    <w:rsid w:val="00526D98"/>
    <w:rsid w:val="005274C7"/>
    <w:rsid w:val="0052767C"/>
    <w:rsid w:val="005327EB"/>
    <w:rsid w:val="00534E78"/>
    <w:rsid w:val="005411BD"/>
    <w:rsid w:val="00543516"/>
    <w:rsid w:val="00543647"/>
    <w:rsid w:val="00546537"/>
    <w:rsid w:val="00546C98"/>
    <w:rsid w:val="00546CA6"/>
    <w:rsid w:val="0054743E"/>
    <w:rsid w:val="00560210"/>
    <w:rsid w:val="00564C4F"/>
    <w:rsid w:val="00565719"/>
    <w:rsid w:val="00565F92"/>
    <w:rsid w:val="00575810"/>
    <w:rsid w:val="00575BBA"/>
    <w:rsid w:val="00577D86"/>
    <w:rsid w:val="00582CBD"/>
    <w:rsid w:val="00584CED"/>
    <w:rsid w:val="00592E6D"/>
    <w:rsid w:val="00592E95"/>
    <w:rsid w:val="00594F4C"/>
    <w:rsid w:val="005964D5"/>
    <w:rsid w:val="00597953"/>
    <w:rsid w:val="005A0E16"/>
    <w:rsid w:val="005A5217"/>
    <w:rsid w:val="005B08D8"/>
    <w:rsid w:val="005B15D4"/>
    <w:rsid w:val="005B2468"/>
    <w:rsid w:val="005B4DB8"/>
    <w:rsid w:val="005C382E"/>
    <w:rsid w:val="005C5E15"/>
    <w:rsid w:val="005C6B82"/>
    <w:rsid w:val="005D4DDE"/>
    <w:rsid w:val="005D59D3"/>
    <w:rsid w:val="005D6629"/>
    <w:rsid w:val="005E020A"/>
    <w:rsid w:val="005E0627"/>
    <w:rsid w:val="005E2047"/>
    <w:rsid w:val="005E48C6"/>
    <w:rsid w:val="005E5AE9"/>
    <w:rsid w:val="005E6EF9"/>
    <w:rsid w:val="005F2EF3"/>
    <w:rsid w:val="005F357B"/>
    <w:rsid w:val="005F4205"/>
    <w:rsid w:val="005F71DA"/>
    <w:rsid w:val="005F7D01"/>
    <w:rsid w:val="00605BDF"/>
    <w:rsid w:val="00605DA3"/>
    <w:rsid w:val="00614B10"/>
    <w:rsid w:val="006302BE"/>
    <w:rsid w:val="00630CA8"/>
    <w:rsid w:val="0063221E"/>
    <w:rsid w:val="006345AB"/>
    <w:rsid w:val="00635432"/>
    <w:rsid w:val="00652DDE"/>
    <w:rsid w:val="00653592"/>
    <w:rsid w:val="00653B80"/>
    <w:rsid w:val="00654BF6"/>
    <w:rsid w:val="00655834"/>
    <w:rsid w:val="00656F46"/>
    <w:rsid w:val="00666D94"/>
    <w:rsid w:val="0067052A"/>
    <w:rsid w:val="00672B4E"/>
    <w:rsid w:val="00681ECC"/>
    <w:rsid w:val="0068215B"/>
    <w:rsid w:val="006873EB"/>
    <w:rsid w:val="00687683"/>
    <w:rsid w:val="006903CA"/>
    <w:rsid w:val="00691954"/>
    <w:rsid w:val="00692556"/>
    <w:rsid w:val="006937BF"/>
    <w:rsid w:val="0069435C"/>
    <w:rsid w:val="00694516"/>
    <w:rsid w:val="00695D18"/>
    <w:rsid w:val="00696F62"/>
    <w:rsid w:val="00697A0A"/>
    <w:rsid w:val="006A0978"/>
    <w:rsid w:val="006A3143"/>
    <w:rsid w:val="006A3972"/>
    <w:rsid w:val="006A3FE5"/>
    <w:rsid w:val="006A4118"/>
    <w:rsid w:val="006A5466"/>
    <w:rsid w:val="006A7D0D"/>
    <w:rsid w:val="006B3254"/>
    <w:rsid w:val="006B43D0"/>
    <w:rsid w:val="006B6031"/>
    <w:rsid w:val="006B6CCB"/>
    <w:rsid w:val="006C1B90"/>
    <w:rsid w:val="006C3CDE"/>
    <w:rsid w:val="006C5FE7"/>
    <w:rsid w:val="006C6599"/>
    <w:rsid w:val="006D12BC"/>
    <w:rsid w:val="006D3B3F"/>
    <w:rsid w:val="006E4F6E"/>
    <w:rsid w:val="006E567A"/>
    <w:rsid w:val="006F1F09"/>
    <w:rsid w:val="00702B52"/>
    <w:rsid w:val="00702D9A"/>
    <w:rsid w:val="007044D2"/>
    <w:rsid w:val="0070479C"/>
    <w:rsid w:val="00704EB4"/>
    <w:rsid w:val="0071001D"/>
    <w:rsid w:val="00711404"/>
    <w:rsid w:val="00711AD7"/>
    <w:rsid w:val="007165C4"/>
    <w:rsid w:val="00720F82"/>
    <w:rsid w:val="007225E6"/>
    <w:rsid w:val="00724608"/>
    <w:rsid w:val="00724F6D"/>
    <w:rsid w:val="00726C16"/>
    <w:rsid w:val="00730C54"/>
    <w:rsid w:val="00732381"/>
    <w:rsid w:val="00735A24"/>
    <w:rsid w:val="00735C3A"/>
    <w:rsid w:val="00735FDB"/>
    <w:rsid w:val="007414D9"/>
    <w:rsid w:val="007452BF"/>
    <w:rsid w:val="007473BC"/>
    <w:rsid w:val="007574F5"/>
    <w:rsid w:val="007576A4"/>
    <w:rsid w:val="00762138"/>
    <w:rsid w:val="00763850"/>
    <w:rsid w:val="00772EBE"/>
    <w:rsid w:val="00781215"/>
    <w:rsid w:val="00781894"/>
    <w:rsid w:val="00781B56"/>
    <w:rsid w:val="00782C67"/>
    <w:rsid w:val="007846D4"/>
    <w:rsid w:val="007957B2"/>
    <w:rsid w:val="00796B80"/>
    <w:rsid w:val="00796EE5"/>
    <w:rsid w:val="007A00B4"/>
    <w:rsid w:val="007A015A"/>
    <w:rsid w:val="007A0173"/>
    <w:rsid w:val="007A4AA9"/>
    <w:rsid w:val="007A5F21"/>
    <w:rsid w:val="007B2016"/>
    <w:rsid w:val="007C05B9"/>
    <w:rsid w:val="007C3523"/>
    <w:rsid w:val="007C3D55"/>
    <w:rsid w:val="007C6D1B"/>
    <w:rsid w:val="007C78DB"/>
    <w:rsid w:val="007D14E6"/>
    <w:rsid w:val="007D1606"/>
    <w:rsid w:val="007D3967"/>
    <w:rsid w:val="007E4724"/>
    <w:rsid w:val="007E669D"/>
    <w:rsid w:val="007F1B43"/>
    <w:rsid w:val="007F4D3B"/>
    <w:rsid w:val="007F6798"/>
    <w:rsid w:val="007F7AE5"/>
    <w:rsid w:val="007F7D98"/>
    <w:rsid w:val="008023D7"/>
    <w:rsid w:val="00807CD8"/>
    <w:rsid w:val="00814B72"/>
    <w:rsid w:val="00814E54"/>
    <w:rsid w:val="0081543E"/>
    <w:rsid w:val="00815600"/>
    <w:rsid w:val="00815654"/>
    <w:rsid w:val="00815E02"/>
    <w:rsid w:val="00821FB8"/>
    <w:rsid w:val="008230F6"/>
    <w:rsid w:val="008247AC"/>
    <w:rsid w:val="00825ADC"/>
    <w:rsid w:val="00834E43"/>
    <w:rsid w:val="008373B5"/>
    <w:rsid w:val="008421EE"/>
    <w:rsid w:val="00847B46"/>
    <w:rsid w:val="00850D7C"/>
    <w:rsid w:val="0085552C"/>
    <w:rsid w:val="00855DEA"/>
    <w:rsid w:val="00861601"/>
    <w:rsid w:val="00862E32"/>
    <w:rsid w:val="0086595F"/>
    <w:rsid w:val="00866EA9"/>
    <w:rsid w:val="00867F8B"/>
    <w:rsid w:val="00876898"/>
    <w:rsid w:val="00876BCB"/>
    <w:rsid w:val="00880017"/>
    <w:rsid w:val="00880997"/>
    <w:rsid w:val="00884D3C"/>
    <w:rsid w:val="008908C3"/>
    <w:rsid w:val="008A60CD"/>
    <w:rsid w:val="008A66D3"/>
    <w:rsid w:val="008A77D8"/>
    <w:rsid w:val="008B09B9"/>
    <w:rsid w:val="008B618F"/>
    <w:rsid w:val="008B6856"/>
    <w:rsid w:val="008B74F8"/>
    <w:rsid w:val="008E193A"/>
    <w:rsid w:val="008F2E49"/>
    <w:rsid w:val="008F363B"/>
    <w:rsid w:val="008F3A0D"/>
    <w:rsid w:val="009008FA"/>
    <w:rsid w:val="009043B3"/>
    <w:rsid w:val="00904D60"/>
    <w:rsid w:val="00905777"/>
    <w:rsid w:val="00905803"/>
    <w:rsid w:val="00905E48"/>
    <w:rsid w:val="0090630F"/>
    <w:rsid w:val="00906716"/>
    <w:rsid w:val="009072D6"/>
    <w:rsid w:val="00907D31"/>
    <w:rsid w:val="009221C5"/>
    <w:rsid w:val="00930218"/>
    <w:rsid w:val="009364CC"/>
    <w:rsid w:val="009406BF"/>
    <w:rsid w:val="00944066"/>
    <w:rsid w:val="00956351"/>
    <w:rsid w:val="00961429"/>
    <w:rsid w:val="00965021"/>
    <w:rsid w:val="00977962"/>
    <w:rsid w:val="00981D8E"/>
    <w:rsid w:val="00982FC9"/>
    <w:rsid w:val="00985CC7"/>
    <w:rsid w:val="00987EA1"/>
    <w:rsid w:val="009921F5"/>
    <w:rsid w:val="0099269D"/>
    <w:rsid w:val="009934D6"/>
    <w:rsid w:val="0099697D"/>
    <w:rsid w:val="009A3E0F"/>
    <w:rsid w:val="009A4702"/>
    <w:rsid w:val="009A527F"/>
    <w:rsid w:val="009B04D9"/>
    <w:rsid w:val="009B2859"/>
    <w:rsid w:val="009B58BC"/>
    <w:rsid w:val="009B653E"/>
    <w:rsid w:val="009B6EBC"/>
    <w:rsid w:val="009D1398"/>
    <w:rsid w:val="009D6247"/>
    <w:rsid w:val="009E2B3D"/>
    <w:rsid w:val="009E4922"/>
    <w:rsid w:val="009E6217"/>
    <w:rsid w:val="009E6CAF"/>
    <w:rsid w:val="009F15D4"/>
    <w:rsid w:val="009F1958"/>
    <w:rsid w:val="009F2018"/>
    <w:rsid w:val="009F2141"/>
    <w:rsid w:val="009F24BE"/>
    <w:rsid w:val="009F7398"/>
    <w:rsid w:val="00A116C0"/>
    <w:rsid w:val="00A123E3"/>
    <w:rsid w:val="00A14B5F"/>
    <w:rsid w:val="00A17C48"/>
    <w:rsid w:val="00A211EC"/>
    <w:rsid w:val="00A257BF"/>
    <w:rsid w:val="00A25E57"/>
    <w:rsid w:val="00A26C4A"/>
    <w:rsid w:val="00A30055"/>
    <w:rsid w:val="00A33DEA"/>
    <w:rsid w:val="00A3751C"/>
    <w:rsid w:val="00A37989"/>
    <w:rsid w:val="00A37CAE"/>
    <w:rsid w:val="00A400EB"/>
    <w:rsid w:val="00A410AD"/>
    <w:rsid w:val="00A4235C"/>
    <w:rsid w:val="00A47FC7"/>
    <w:rsid w:val="00A51EBE"/>
    <w:rsid w:val="00A53553"/>
    <w:rsid w:val="00A55028"/>
    <w:rsid w:val="00A615B2"/>
    <w:rsid w:val="00A64FC3"/>
    <w:rsid w:val="00A666A9"/>
    <w:rsid w:val="00A700BD"/>
    <w:rsid w:val="00A72335"/>
    <w:rsid w:val="00A724CC"/>
    <w:rsid w:val="00A7289E"/>
    <w:rsid w:val="00A72CF0"/>
    <w:rsid w:val="00A80173"/>
    <w:rsid w:val="00A81DF4"/>
    <w:rsid w:val="00A82790"/>
    <w:rsid w:val="00A84698"/>
    <w:rsid w:val="00A90096"/>
    <w:rsid w:val="00A90158"/>
    <w:rsid w:val="00A92519"/>
    <w:rsid w:val="00A928DA"/>
    <w:rsid w:val="00A9408C"/>
    <w:rsid w:val="00A96E14"/>
    <w:rsid w:val="00A9792D"/>
    <w:rsid w:val="00AA2E04"/>
    <w:rsid w:val="00AA3175"/>
    <w:rsid w:val="00AA4BC0"/>
    <w:rsid w:val="00AA5B10"/>
    <w:rsid w:val="00AA5BC7"/>
    <w:rsid w:val="00AA5FDE"/>
    <w:rsid w:val="00AB2E83"/>
    <w:rsid w:val="00AB55BD"/>
    <w:rsid w:val="00AB5EDB"/>
    <w:rsid w:val="00AB6787"/>
    <w:rsid w:val="00AB6D5F"/>
    <w:rsid w:val="00AB7933"/>
    <w:rsid w:val="00AC178B"/>
    <w:rsid w:val="00AC2CDE"/>
    <w:rsid w:val="00AC4D2E"/>
    <w:rsid w:val="00AC4F55"/>
    <w:rsid w:val="00AC673B"/>
    <w:rsid w:val="00AD1DFB"/>
    <w:rsid w:val="00AD3073"/>
    <w:rsid w:val="00AD410A"/>
    <w:rsid w:val="00AD49F0"/>
    <w:rsid w:val="00AD7173"/>
    <w:rsid w:val="00AD74B8"/>
    <w:rsid w:val="00AF2103"/>
    <w:rsid w:val="00AF2889"/>
    <w:rsid w:val="00AF4B19"/>
    <w:rsid w:val="00B01E6B"/>
    <w:rsid w:val="00B07100"/>
    <w:rsid w:val="00B072BC"/>
    <w:rsid w:val="00B12A62"/>
    <w:rsid w:val="00B1421F"/>
    <w:rsid w:val="00B214A2"/>
    <w:rsid w:val="00B21BB9"/>
    <w:rsid w:val="00B30A81"/>
    <w:rsid w:val="00B30ABB"/>
    <w:rsid w:val="00B34157"/>
    <w:rsid w:val="00B35FCB"/>
    <w:rsid w:val="00B366C2"/>
    <w:rsid w:val="00B41F24"/>
    <w:rsid w:val="00B42597"/>
    <w:rsid w:val="00B42E2B"/>
    <w:rsid w:val="00B42FAE"/>
    <w:rsid w:val="00B46DBE"/>
    <w:rsid w:val="00B51445"/>
    <w:rsid w:val="00B53756"/>
    <w:rsid w:val="00B544D1"/>
    <w:rsid w:val="00B60EE5"/>
    <w:rsid w:val="00B63A48"/>
    <w:rsid w:val="00B723CB"/>
    <w:rsid w:val="00B82E30"/>
    <w:rsid w:val="00B83C33"/>
    <w:rsid w:val="00B842BD"/>
    <w:rsid w:val="00B852E4"/>
    <w:rsid w:val="00B86105"/>
    <w:rsid w:val="00B92302"/>
    <w:rsid w:val="00BA2ACF"/>
    <w:rsid w:val="00BA5854"/>
    <w:rsid w:val="00BA6750"/>
    <w:rsid w:val="00BB2978"/>
    <w:rsid w:val="00BB2DD5"/>
    <w:rsid w:val="00BB7075"/>
    <w:rsid w:val="00BB7679"/>
    <w:rsid w:val="00BB7D7A"/>
    <w:rsid w:val="00BC0837"/>
    <w:rsid w:val="00BC4BF5"/>
    <w:rsid w:val="00BF25D9"/>
    <w:rsid w:val="00BF319A"/>
    <w:rsid w:val="00BF4316"/>
    <w:rsid w:val="00BF5031"/>
    <w:rsid w:val="00BF6E5E"/>
    <w:rsid w:val="00BF75B0"/>
    <w:rsid w:val="00C03EB5"/>
    <w:rsid w:val="00C05BC0"/>
    <w:rsid w:val="00C1015F"/>
    <w:rsid w:val="00C1066A"/>
    <w:rsid w:val="00C11FAD"/>
    <w:rsid w:val="00C161A3"/>
    <w:rsid w:val="00C16A56"/>
    <w:rsid w:val="00C16B8C"/>
    <w:rsid w:val="00C17350"/>
    <w:rsid w:val="00C22D6F"/>
    <w:rsid w:val="00C2523E"/>
    <w:rsid w:val="00C254E3"/>
    <w:rsid w:val="00C27CBB"/>
    <w:rsid w:val="00C34C89"/>
    <w:rsid w:val="00C35460"/>
    <w:rsid w:val="00C371E8"/>
    <w:rsid w:val="00C37330"/>
    <w:rsid w:val="00C51F93"/>
    <w:rsid w:val="00C53E85"/>
    <w:rsid w:val="00C55F24"/>
    <w:rsid w:val="00C56D79"/>
    <w:rsid w:val="00C57B14"/>
    <w:rsid w:val="00C65209"/>
    <w:rsid w:val="00C65A2C"/>
    <w:rsid w:val="00C80E42"/>
    <w:rsid w:val="00C85ED9"/>
    <w:rsid w:val="00C860E4"/>
    <w:rsid w:val="00C95096"/>
    <w:rsid w:val="00CA3F48"/>
    <w:rsid w:val="00CA415C"/>
    <w:rsid w:val="00CA6D5C"/>
    <w:rsid w:val="00CA7DC7"/>
    <w:rsid w:val="00CB02C2"/>
    <w:rsid w:val="00CB0CCA"/>
    <w:rsid w:val="00CB1706"/>
    <w:rsid w:val="00CB51EE"/>
    <w:rsid w:val="00CC1D19"/>
    <w:rsid w:val="00CC5B5B"/>
    <w:rsid w:val="00CD65B3"/>
    <w:rsid w:val="00CD7DA1"/>
    <w:rsid w:val="00CD7EEF"/>
    <w:rsid w:val="00CE22EC"/>
    <w:rsid w:val="00CF02A7"/>
    <w:rsid w:val="00CF0A9A"/>
    <w:rsid w:val="00CF67AE"/>
    <w:rsid w:val="00CF7894"/>
    <w:rsid w:val="00D002E1"/>
    <w:rsid w:val="00D07F41"/>
    <w:rsid w:val="00D12189"/>
    <w:rsid w:val="00D14596"/>
    <w:rsid w:val="00D16481"/>
    <w:rsid w:val="00D17755"/>
    <w:rsid w:val="00D21119"/>
    <w:rsid w:val="00D23BF4"/>
    <w:rsid w:val="00D268BD"/>
    <w:rsid w:val="00D30AF3"/>
    <w:rsid w:val="00D35A0C"/>
    <w:rsid w:val="00D36099"/>
    <w:rsid w:val="00D40147"/>
    <w:rsid w:val="00D50B58"/>
    <w:rsid w:val="00D52C0B"/>
    <w:rsid w:val="00D53537"/>
    <w:rsid w:val="00D56CBF"/>
    <w:rsid w:val="00D644C3"/>
    <w:rsid w:val="00D6679E"/>
    <w:rsid w:val="00D67B92"/>
    <w:rsid w:val="00D67E9E"/>
    <w:rsid w:val="00D7273A"/>
    <w:rsid w:val="00D802CF"/>
    <w:rsid w:val="00D90165"/>
    <w:rsid w:val="00D93E5E"/>
    <w:rsid w:val="00D94A0F"/>
    <w:rsid w:val="00D95366"/>
    <w:rsid w:val="00D95D4C"/>
    <w:rsid w:val="00DA0157"/>
    <w:rsid w:val="00DA10DF"/>
    <w:rsid w:val="00DA36BF"/>
    <w:rsid w:val="00DA3A36"/>
    <w:rsid w:val="00DB106E"/>
    <w:rsid w:val="00DB1540"/>
    <w:rsid w:val="00DB2F48"/>
    <w:rsid w:val="00DC0F99"/>
    <w:rsid w:val="00DC572B"/>
    <w:rsid w:val="00DC65E7"/>
    <w:rsid w:val="00DD49FA"/>
    <w:rsid w:val="00DD5105"/>
    <w:rsid w:val="00DD6CF2"/>
    <w:rsid w:val="00DD7011"/>
    <w:rsid w:val="00DE0F5E"/>
    <w:rsid w:val="00DE10CB"/>
    <w:rsid w:val="00DE15A3"/>
    <w:rsid w:val="00DE469F"/>
    <w:rsid w:val="00DF18F9"/>
    <w:rsid w:val="00DF221A"/>
    <w:rsid w:val="00DF4D27"/>
    <w:rsid w:val="00DF5384"/>
    <w:rsid w:val="00E0048F"/>
    <w:rsid w:val="00E018AE"/>
    <w:rsid w:val="00E100EB"/>
    <w:rsid w:val="00E13A24"/>
    <w:rsid w:val="00E14B3A"/>
    <w:rsid w:val="00E1509B"/>
    <w:rsid w:val="00E17253"/>
    <w:rsid w:val="00E20E1E"/>
    <w:rsid w:val="00E2275A"/>
    <w:rsid w:val="00E22F0F"/>
    <w:rsid w:val="00E24628"/>
    <w:rsid w:val="00E26C3B"/>
    <w:rsid w:val="00E3730E"/>
    <w:rsid w:val="00E40F8E"/>
    <w:rsid w:val="00E446E4"/>
    <w:rsid w:val="00E516FA"/>
    <w:rsid w:val="00E52F44"/>
    <w:rsid w:val="00E52FD7"/>
    <w:rsid w:val="00E554D5"/>
    <w:rsid w:val="00E6154D"/>
    <w:rsid w:val="00E63526"/>
    <w:rsid w:val="00E70A58"/>
    <w:rsid w:val="00E71B0E"/>
    <w:rsid w:val="00E7313D"/>
    <w:rsid w:val="00E74A78"/>
    <w:rsid w:val="00E76D1F"/>
    <w:rsid w:val="00E8021D"/>
    <w:rsid w:val="00E8137A"/>
    <w:rsid w:val="00E82A18"/>
    <w:rsid w:val="00E82A4A"/>
    <w:rsid w:val="00E84F9B"/>
    <w:rsid w:val="00E87094"/>
    <w:rsid w:val="00E87E29"/>
    <w:rsid w:val="00E922FA"/>
    <w:rsid w:val="00EA73B6"/>
    <w:rsid w:val="00EB16AF"/>
    <w:rsid w:val="00EB392D"/>
    <w:rsid w:val="00EB51A4"/>
    <w:rsid w:val="00EC0C73"/>
    <w:rsid w:val="00EC46B0"/>
    <w:rsid w:val="00EC582A"/>
    <w:rsid w:val="00EC7360"/>
    <w:rsid w:val="00EC79A5"/>
    <w:rsid w:val="00EC7E28"/>
    <w:rsid w:val="00EE36E1"/>
    <w:rsid w:val="00EE4BDC"/>
    <w:rsid w:val="00EF2ECB"/>
    <w:rsid w:val="00EF317E"/>
    <w:rsid w:val="00EF542F"/>
    <w:rsid w:val="00F015AE"/>
    <w:rsid w:val="00F02C94"/>
    <w:rsid w:val="00F058E7"/>
    <w:rsid w:val="00F0682F"/>
    <w:rsid w:val="00F151A9"/>
    <w:rsid w:val="00F22E46"/>
    <w:rsid w:val="00F246BB"/>
    <w:rsid w:val="00F30414"/>
    <w:rsid w:val="00F32E34"/>
    <w:rsid w:val="00F45311"/>
    <w:rsid w:val="00F47F2E"/>
    <w:rsid w:val="00F50970"/>
    <w:rsid w:val="00F52E45"/>
    <w:rsid w:val="00F54148"/>
    <w:rsid w:val="00F55191"/>
    <w:rsid w:val="00F55C78"/>
    <w:rsid w:val="00F55D5B"/>
    <w:rsid w:val="00F56753"/>
    <w:rsid w:val="00F62033"/>
    <w:rsid w:val="00F628EB"/>
    <w:rsid w:val="00F62E04"/>
    <w:rsid w:val="00F65FB6"/>
    <w:rsid w:val="00F65FBE"/>
    <w:rsid w:val="00F746C8"/>
    <w:rsid w:val="00F854F4"/>
    <w:rsid w:val="00F85AD5"/>
    <w:rsid w:val="00F979BE"/>
    <w:rsid w:val="00FA0277"/>
    <w:rsid w:val="00FA22C0"/>
    <w:rsid w:val="00FA2AFB"/>
    <w:rsid w:val="00FA6AA7"/>
    <w:rsid w:val="00FB03A5"/>
    <w:rsid w:val="00FB1525"/>
    <w:rsid w:val="00FB24AF"/>
    <w:rsid w:val="00FB3A73"/>
    <w:rsid w:val="00FB7A50"/>
    <w:rsid w:val="00FC09EC"/>
    <w:rsid w:val="00FC1981"/>
    <w:rsid w:val="00FC2CBB"/>
    <w:rsid w:val="00FC3C46"/>
    <w:rsid w:val="00FC7FBE"/>
    <w:rsid w:val="00FD1039"/>
    <w:rsid w:val="00FD1A87"/>
    <w:rsid w:val="00FD2E6A"/>
    <w:rsid w:val="00FD2F43"/>
    <w:rsid w:val="00FD538B"/>
    <w:rsid w:val="00FE45A4"/>
    <w:rsid w:val="00FE6439"/>
    <w:rsid w:val="00FF0176"/>
    <w:rsid w:val="00FF60F5"/>
    <w:rsid w:val="00FF6E22"/>
    <w:rsid w:val="0F5A6E37"/>
    <w:rsid w:val="2D0D73A0"/>
    <w:rsid w:val="46154656"/>
    <w:rsid w:val="532E50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4E3"/>
    <w:pPr>
      <w:widowControl w:val="0"/>
      <w:jc w:val="both"/>
    </w:pPr>
    <w:rPr>
      <w:rFonts w:ascii="Times New Roman" w:eastAsia="仿宋_GB2312" w:hAnsi="Times New Roman"/>
      <w:kern w:val="2"/>
      <w:sz w:val="32"/>
      <w:szCs w:val="21"/>
    </w:rPr>
  </w:style>
  <w:style w:type="paragraph" w:styleId="1">
    <w:name w:val="heading 1"/>
    <w:basedOn w:val="a"/>
    <w:next w:val="a"/>
    <w:link w:val="1Char"/>
    <w:uiPriority w:val="9"/>
    <w:qFormat/>
    <w:rsid w:val="00C254E3"/>
    <w:pPr>
      <w:ind w:firstLineChars="200" w:firstLine="200"/>
      <w:outlineLvl w:val="0"/>
    </w:pPr>
    <w:rPr>
      <w:rFonts w:eastAsia="黑体"/>
      <w:bCs/>
      <w:kern w:val="44"/>
      <w:szCs w:val="44"/>
    </w:rPr>
  </w:style>
  <w:style w:type="paragraph" w:styleId="2">
    <w:name w:val="heading 2"/>
    <w:basedOn w:val="a"/>
    <w:next w:val="a"/>
    <w:link w:val="2Char"/>
    <w:uiPriority w:val="9"/>
    <w:unhideWhenUsed/>
    <w:qFormat/>
    <w:rsid w:val="00C254E3"/>
    <w:pPr>
      <w:ind w:firstLineChars="200" w:firstLine="200"/>
      <w:outlineLvl w:val="1"/>
    </w:pPr>
    <w:rPr>
      <w:rFonts w:eastAsia="楷体_GB2312" w:cstheme="majorBidi"/>
      <w:b/>
      <w:bCs/>
      <w:szCs w:val="32"/>
    </w:rPr>
  </w:style>
  <w:style w:type="paragraph" w:styleId="3">
    <w:name w:val="heading 3"/>
    <w:basedOn w:val="a"/>
    <w:next w:val="a"/>
    <w:link w:val="3Char"/>
    <w:uiPriority w:val="9"/>
    <w:unhideWhenUsed/>
    <w:qFormat/>
    <w:rsid w:val="00C254E3"/>
    <w:pPr>
      <w:ind w:firstLineChars="200" w:firstLine="200"/>
      <w:outlineLvl w:val="2"/>
    </w:pPr>
    <w:rPr>
      <w:b/>
      <w:bCs/>
      <w:szCs w:val="32"/>
    </w:rPr>
  </w:style>
  <w:style w:type="paragraph" w:styleId="4">
    <w:name w:val="heading 4"/>
    <w:basedOn w:val="a"/>
    <w:next w:val="a"/>
    <w:link w:val="4Char"/>
    <w:uiPriority w:val="9"/>
    <w:semiHidden/>
    <w:unhideWhenUsed/>
    <w:qFormat/>
    <w:rsid w:val="00C254E3"/>
    <w:pPr>
      <w:widowControl/>
      <w:ind w:firstLineChars="200" w:firstLine="200"/>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C254E3"/>
    <w:pPr>
      <w:jc w:val="left"/>
    </w:pPr>
  </w:style>
  <w:style w:type="paragraph" w:styleId="a4">
    <w:name w:val="Balloon Text"/>
    <w:basedOn w:val="a"/>
    <w:link w:val="Char0"/>
    <w:uiPriority w:val="99"/>
    <w:semiHidden/>
    <w:unhideWhenUsed/>
    <w:qFormat/>
    <w:rsid w:val="00C254E3"/>
    <w:rPr>
      <w:sz w:val="18"/>
      <w:szCs w:val="18"/>
    </w:rPr>
  </w:style>
  <w:style w:type="paragraph" w:styleId="a5">
    <w:name w:val="footer"/>
    <w:basedOn w:val="a"/>
    <w:link w:val="Char1"/>
    <w:uiPriority w:val="99"/>
    <w:unhideWhenUsed/>
    <w:qFormat/>
    <w:rsid w:val="00C254E3"/>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rsid w:val="00C254E3"/>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uiPriority w:val="99"/>
    <w:unhideWhenUsed/>
    <w:qFormat/>
    <w:rsid w:val="00C254E3"/>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rsid w:val="00C254E3"/>
    <w:pPr>
      <w:jc w:val="center"/>
      <w:outlineLvl w:val="0"/>
    </w:pPr>
    <w:rPr>
      <w:rFonts w:eastAsia="方正小标宋简体" w:cstheme="majorBidi"/>
      <w:bCs/>
      <w:sz w:val="36"/>
      <w:szCs w:val="32"/>
    </w:rPr>
  </w:style>
  <w:style w:type="paragraph" w:styleId="a9">
    <w:name w:val="annotation subject"/>
    <w:basedOn w:val="a3"/>
    <w:next w:val="a3"/>
    <w:link w:val="Char4"/>
    <w:uiPriority w:val="99"/>
    <w:semiHidden/>
    <w:unhideWhenUsed/>
    <w:rsid w:val="00C254E3"/>
    <w:rPr>
      <w:b/>
      <w:bCs/>
    </w:rPr>
  </w:style>
  <w:style w:type="character" w:styleId="aa">
    <w:name w:val="Strong"/>
    <w:basedOn w:val="a0"/>
    <w:uiPriority w:val="22"/>
    <w:qFormat/>
    <w:rsid w:val="00C254E3"/>
    <w:rPr>
      <w:b/>
      <w:bCs/>
    </w:rPr>
  </w:style>
  <w:style w:type="character" w:styleId="ab">
    <w:name w:val="annotation reference"/>
    <w:basedOn w:val="a0"/>
    <w:uiPriority w:val="99"/>
    <w:semiHidden/>
    <w:unhideWhenUsed/>
    <w:rsid w:val="00C254E3"/>
    <w:rPr>
      <w:sz w:val="21"/>
      <w:szCs w:val="21"/>
    </w:rPr>
  </w:style>
  <w:style w:type="character" w:customStyle="1" w:styleId="Char2">
    <w:name w:val="页眉 Char"/>
    <w:basedOn w:val="a0"/>
    <w:link w:val="a6"/>
    <w:uiPriority w:val="99"/>
    <w:qFormat/>
    <w:rsid w:val="00C254E3"/>
    <w:rPr>
      <w:sz w:val="18"/>
      <w:szCs w:val="18"/>
    </w:rPr>
  </w:style>
  <w:style w:type="character" w:customStyle="1" w:styleId="Char1">
    <w:name w:val="页脚 Char"/>
    <w:basedOn w:val="a0"/>
    <w:link w:val="a5"/>
    <w:uiPriority w:val="99"/>
    <w:qFormat/>
    <w:rsid w:val="00C254E3"/>
    <w:rPr>
      <w:sz w:val="18"/>
      <w:szCs w:val="18"/>
    </w:rPr>
  </w:style>
  <w:style w:type="character" w:customStyle="1" w:styleId="Char0">
    <w:name w:val="批注框文本 Char"/>
    <w:basedOn w:val="a0"/>
    <w:link w:val="a4"/>
    <w:uiPriority w:val="99"/>
    <w:semiHidden/>
    <w:rsid w:val="00C254E3"/>
    <w:rPr>
      <w:sz w:val="18"/>
      <w:szCs w:val="18"/>
    </w:rPr>
  </w:style>
  <w:style w:type="character" w:customStyle="1" w:styleId="Char3">
    <w:name w:val="标题 Char"/>
    <w:basedOn w:val="a0"/>
    <w:link w:val="a8"/>
    <w:uiPriority w:val="10"/>
    <w:rsid w:val="00C254E3"/>
    <w:rPr>
      <w:rFonts w:ascii="Times New Roman" w:eastAsia="方正小标宋简体" w:hAnsi="Times New Roman" w:cstheme="majorBidi"/>
      <w:bCs/>
      <w:sz w:val="36"/>
      <w:szCs w:val="32"/>
    </w:rPr>
  </w:style>
  <w:style w:type="character" w:customStyle="1" w:styleId="1Char">
    <w:name w:val="标题 1 Char"/>
    <w:basedOn w:val="a0"/>
    <w:link w:val="1"/>
    <w:uiPriority w:val="9"/>
    <w:qFormat/>
    <w:rsid w:val="00C254E3"/>
    <w:rPr>
      <w:rFonts w:ascii="Times New Roman" w:eastAsia="黑体" w:hAnsi="Times New Roman"/>
      <w:bCs/>
      <w:kern w:val="44"/>
      <w:sz w:val="32"/>
      <w:szCs w:val="44"/>
    </w:rPr>
  </w:style>
  <w:style w:type="character" w:customStyle="1" w:styleId="2Char">
    <w:name w:val="标题 2 Char"/>
    <w:basedOn w:val="a0"/>
    <w:link w:val="2"/>
    <w:uiPriority w:val="9"/>
    <w:qFormat/>
    <w:rsid w:val="00C254E3"/>
    <w:rPr>
      <w:rFonts w:ascii="Times New Roman" w:eastAsia="楷体_GB2312" w:hAnsi="Times New Roman" w:cstheme="majorBidi"/>
      <w:b/>
      <w:bCs/>
      <w:sz w:val="32"/>
      <w:szCs w:val="32"/>
    </w:rPr>
  </w:style>
  <w:style w:type="character" w:customStyle="1" w:styleId="3Char">
    <w:name w:val="标题 3 Char"/>
    <w:basedOn w:val="a0"/>
    <w:link w:val="3"/>
    <w:uiPriority w:val="9"/>
    <w:qFormat/>
    <w:rsid w:val="00C254E3"/>
    <w:rPr>
      <w:rFonts w:ascii="Times New Roman" w:eastAsia="仿宋_GB2312" w:hAnsi="Times New Roman"/>
      <w:b/>
      <w:bCs/>
      <w:sz w:val="32"/>
      <w:szCs w:val="32"/>
    </w:rPr>
  </w:style>
  <w:style w:type="character" w:customStyle="1" w:styleId="4Char">
    <w:name w:val="标题 4 Char"/>
    <w:basedOn w:val="a0"/>
    <w:link w:val="4"/>
    <w:uiPriority w:val="9"/>
    <w:semiHidden/>
    <w:rsid w:val="00C254E3"/>
    <w:rPr>
      <w:rFonts w:ascii="Times New Roman" w:eastAsia="仿宋_GB2312" w:hAnsi="Times New Roman" w:cstheme="majorBidi"/>
      <w:b/>
      <w:bCs/>
      <w:sz w:val="32"/>
      <w:szCs w:val="28"/>
    </w:rPr>
  </w:style>
  <w:style w:type="paragraph" w:customStyle="1" w:styleId="ac">
    <w:name w:val="段落正文"/>
    <w:basedOn w:val="a"/>
    <w:qFormat/>
    <w:rsid w:val="00C254E3"/>
    <w:pPr>
      <w:widowControl/>
      <w:ind w:firstLineChars="200" w:firstLine="200"/>
    </w:pPr>
  </w:style>
  <w:style w:type="paragraph" w:customStyle="1" w:styleId="ad">
    <w:name w:val="附件"/>
    <w:basedOn w:val="a"/>
    <w:qFormat/>
    <w:rsid w:val="00C254E3"/>
    <w:pPr>
      <w:ind w:left="200" w:hangingChars="200" w:hanging="200"/>
    </w:pPr>
  </w:style>
  <w:style w:type="character" w:customStyle="1" w:styleId="10">
    <w:name w:val="明显强调1"/>
    <w:basedOn w:val="a0"/>
    <w:uiPriority w:val="21"/>
    <w:qFormat/>
    <w:rsid w:val="00C254E3"/>
    <w:rPr>
      <w:rFonts w:ascii="Times New Roman" w:eastAsia="黑体" w:hAnsi="Times New Roman"/>
      <w:iCs/>
      <w:color w:val="auto"/>
    </w:rPr>
  </w:style>
  <w:style w:type="paragraph" w:styleId="ae">
    <w:name w:val="No Spacing"/>
    <w:uiPriority w:val="1"/>
    <w:qFormat/>
    <w:rsid w:val="00C254E3"/>
    <w:pPr>
      <w:widowControl w:val="0"/>
      <w:ind w:firstLine="5103"/>
      <w:jc w:val="center"/>
    </w:pPr>
    <w:rPr>
      <w:rFonts w:ascii="Times New Roman" w:eastAsia="仿宋_GB2312" w:hAnsi="Times New Roman"/>
      <w:kern w:val="2"/>
      <w:sz w:val="32"/>
      <w:szCs w:val="21"/>
    </w:rPr>
  </w:style>
  <w:style w:type="character" w:customStyle="1" w:styleId="Char">
    <w:name w:val="批注文字 Char"/>
    <w:basedOn w:val="a0"/>
    <w:link w:val="a3"/>
    <w:uiPriority w:val="99"/>
    <w:semiHidden/>
    <w:qFormat/>
    <w:rsid w:val="00C254E3"/>
    <w:rPr>
      <w:rFonts w:ascii="Times New Roman" w:eastAsia="仿宋_GB2312" w:hAnsi="Times New Roman"/>
      <w:sz w:val="32"/>
      <w:szCs w:val="21"/>
    </w:rPr>
  </w:style>
  <w:style w:type="character" w:customStyle="1" w:styleId="Char4">
    <w:name w:val="批注主题 Char"/>
    <w:basedOn w:val="Char"/>
    <w:link w:val="a9"/>
    <w:uiPriority w:val="99"/>
    <w:semiHidden/>
    <w:rsid w:val="00C254E3"/>
    <w:rPr>
      <w:rFonts w:ascii="Times New Roman" w:eastAsia="仿宋_GB2312" w:hAnsi="Times New Roman"/>
      <w:b/>
      <w:bCs/>
      <w:sz w:val="32"/>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6BA675B-CE0A-4859-963D-D0A0719858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6</Pages>
  <Words>440</Words>
  <Characters>2511</Characters>
  <Application>Microsoft Office Word</Application>
  <DocSecurity>0</DocSecurity>
  <Lines>20</Lines>
  <Paragraphs>5</Paragraphs>
  <ScaleCrop>false</ScaleCrop>
  <Company>Hewlett-Packard Company</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支持学前教育发展资金管理办法</dc:title>
  <dc:creator>刘昊</dc:creator>
  <cp:lastModifiedBy>韩冰</cp:lastModifiedBy>
  <cp:revision>83</cp:revision>
  <cp:lastPrinted>2019-12-06T09:06:00Z</cp:lastPrinted>
  <dcterms:created xsi:type="dcterms:W3CDTF">2018-03-26T08:30:00Z</dcterms:created>
  <dcterms:modified xsi:type="dcterms:W3CDTF">2020-01-21T04:13:00Z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