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ascii="仿宋_GB2312"/>
          <w:sz w:val="32"/>
          <w:szCs w:val="32"/>
        </w:rPr>
      </w:pPr>
      <w:r>
        <w:rPr>
          <w:rFonts w:hint="eastAsia" w:ascii="仿宋_GB2312"/>
          <w:sz w:val="32"/>
          <w:szCs w:val="32"/>
        </w:rPr>
        <w:t>附件：</w:t>
      </w:r>
    </w:p>
    <w:p>
      <w:pPr>
        <w:keepNext w:val="0"/>
        <w:keepLines w:val="0"/>
        <w:pageBreakBefore w:val="0"/>
        <w:kinsoku/>
        <w:wordWrap/>
        <w:overflowPunct/>
        <w:topLinePunct w:val="0"/>
        <w:autoSpaceDE/>
        <w:autoSpaceDN/>
        <w:bidi w:val="0"/>
        <w:adjustRightInd w:val="0"/>
        <w:snapToGrid w:val="0"/>
        <w:spacing w:line="360" w:lineRule="auto"/>
        <w:ind w:firstLine="600" w:firstLineChars="200"/>
        <w:textAlignment w:val="auto"/>
        <w:rPr>
          <w:rFonts w:ascii="仿宋_GB2312"/>
          <w:szCs w:val="30"/>
        </w:rPr>
      </w:pPr>
    </w:p>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储蓄国债发行额度管理办法</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黑体" w:eastAsia="黑体"/>
          <w:sz w:val="32"/>
          <w:szCs w:val="32"/>
        </w:rPr>
      </w:pP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黑体" w:eastAsia="黑体"/>
          <w:sz w:val="32"/>
          <w:szCs w:val="32"/>
        </w:rPr>
      </w:pPr>
      <w:r>
        <w:rPr>
          <w:rFonts w:hint="eastAsia" w:ascii="黑体" w:eastAsia="黑体"/>
          <w:sz w:val="32"/>
          <w:szCs w:val="32"/>
        </w:rPr>
        <w:t>第一章 总则</w:t>
      </w:r>
    </w:p>
    <w:p>
      <w:pPr>
        <w:keepNext w:val="0"/>
        <w:keepLines w:val="0"/>
        <w:pageBreakBefore w:val="0"/>
        <w:kinsoku/>
        <w:wordWrap/>
        <w:overflowPunct/>
        <w:topLinePunct w:val="0"/>
        <w:autoSpaceDE/>
        <w:autoSpaceDN/>
        <w:bidi w:val="0"/>
        <w:adjustRightInd w:val="0"/>
        <w:snapToGrid w:val="0"/>
        <w:spacing w:line="360" w:lineRule="auto"/>
        <w:ind w:firstLine="642" w:firstLineChars="200"/>
        <w:textAlignment w:val="auto"/>
        <w:rPr>
          <w:rFonts w:ascii="仿宋_GB2312"/>
          <w:snapToGrid w:val="0"/>
          <w:kern w:val="0"/>
          <w:sz w:val="32"/>
          <w:szCs w:val="32"/>
        </w:rPr>
      </w:pPr>
      <w:r>
        <w:rPr>
          <w:rFonts w:hint="eastAsia" w:ascii="仿宋_GB2312"/>
          <w:b/>
          <w:snapToGrid w:val="0"/>
          <w:kern w:val="0"/>
          <w:sz w:val="32"/>
          <w:szCs w:val="32"/>
        </w:rPr>
        <w:t>第一条</w:t>
      </w:r>
      <w:r>
        <w:rPr>
          <w:rFonts w:hint="eastAsia" w:ascii="仿宋_GB2312"/>
          <w:b/>
          <w:snapToGrid w:val="0"/>
          <w:kern w:val="0"/>
          <w:sz w:val="32"/>
          <w:szCs w:val="32"/>
          <w:lang w:val="en-US" w:eastAsia="zh-CN"/>
        </w:rPr>
        <w:t xml:space="preserve"> </w:t>
      </w:r>
      <w:r>
        <w:rPr>
          <w:rFonts w:hint="eastAsia" w:ascii="仿宋_GB2312"/>
          <w:snapToGrid w:val="0"/>
          <w:kern w:val="0"/>
          <w:sz w:val="32"/>
          <w:szCs w:val="32"/>
        </w:rPr>
        <w:t>为加强储蓄国债发行额度管理，根据国家有关法律法规，以及《储蓄国</w:t>
      </w:r>
      <w:bookmarkStart w:id="0" w:name="_GoBack"/>
      <w:bookmarkEnd w:id="0"/>
      <w:r>
        <w:rPr>
          <w:rFonts w:hint="eastAsia" w:ascii="仿宋_GB2312"/>
          <w:snapToGrid w:val="0"/>
          <w:kern w:val="0"/>
          <w:sz w:val="32"/>
          <w:szCs w:val="32"/>
        </w:rPr>
        <w:t>债（电子式）管理办法》</w:t>
      </w:r>
      <w:r>
        <w:rPr>
          <w:rFonts w:hint="eastAsia" w:ascii="仿宋_GB2312"/>
          <w:snapToGrid w:val="0"/>
          <w:kern w:val="0"/>
          <w:sz w:val="32"/>
          <w:szCs w:val="32"/>
          <w:lang w:eastAsia="zh-CN"/>
        </w:rPr>
        <w:t>（财库〔</w:t>
      </w:r>
      <w:r>
        <w:rPr>
          <w:rFonts w:hint="eastAsia" w:ascii="仿宋_GB2312"/>
          <w:snapToGrid w:val="0"/>
          <w:kern w:val="0"/>
          <w:sz w:val="32"/>
          <w:szCs w:val="32"/>
          <w:lang w:val="en-US" w:eastAsia="zh-CN"/>
        </w:rPr>
        <w:t>2013</w:t>
      </w:r>
      <w:r>
        <w:rPr>
          <w:rFonts w:hint="eastAsia" w:ascii="仿宋_GB2312"/>
          <w:snapToGrid w:val="0"/>
          <w:kern w:val="0"/>
          <w:sz w:val="32"/>
          <w:szCs w:val="32"/>
          <w:lang w:eastAsia="zh-CN"/>
        </w:rPr>
        <w:t>〕</w:t>
      </w:r>
      <w:r>
        <w:rPr>
          <w:rFonts w:hint="eastAsia" w:ascii="仿宋_GB2312"/>
          <w:snapToGrid w:val="0"/>
          <w:kern w:val="0"/>
          <w:sz w:val="32"/>
          <w:szCs w:val="32"/>
          <w:lang w:val="en-US" w:eastAsia="zh-CN"/>
        </w:rPr>
        <w:t>7号</w:t>
      </w:r>
      <w:r>
        <w:rPr>
          <w:rFonts w:hint="eastAsia" w:ascii="仿宋_GB2312"/>
          <w:snapToGrid w:val="0"/>
          <w:kern w:val="0"/>
          <w:sz w:val="32"/>
          <w:szCs w:val="32"/>
          <w:lang w:eastAsia="zh-CN"/>
        </w:rPr>
        <w:t>）</w:t>
      </w:r>
      <w:r>
        <w:rPr>
          <w:rFonts w:hint="eastAsia" w:ascii="仿宋_GB2312"/>
          <w:snapToGrid w:val="0"/>
          <w:kern w:val="0"/>
          <w:sz w:val="32"/>
          <w:szCs w:val="32"/>
        </w:rPr>
        <w:t>、《储蓄国债（凭证式）管理办法》</w:t>
      </w:r>
      <w:r>
        <w:rPr>
          <w:rFonts w:hint="eastAsia" w:ascii="仿宋_GB2312"/>
          <w:snapToGrid w:val="0"/>
          <w:kern w:val="0"/>
          <w:sz w:val="32"/>
          <w:szCs w:val="32"/>
          <w:lang w:eastAsia="zh-CN"/>
        </w:rPr>
        <w:t>（银发〔</w:t>
      </w:r>
      <w:r>
        <w:rPr>
          <w:rFonts w:hint="eastAsia" w:ascii="仿宋_GB2312"/>
          <w:snapToGrid w:val="0"/>
          <w:kern w:val="0"/>
          <w:sz w:val="32"/>
          <w:szCs w:val="32"/>
          <w:lang w:val="en-US" w:eastAsia="zh-CN"/>
        </w:rPr>
        <w:t>2021</w:t>
      </w:r>
      <w:r>
        <w:rPr>
          <w:rFonts w:hint="eastAsia" w:ascii="仿宋_GB2312"/>
          <w:snapToGrid w:val="0"/>
          <w:kern w:val="0"/>
          <w:sz w:val="32"/>
          <w:szCs w:val="32"/>
          <w:lang w:eastAsia="zh-CN"/>
        </w:rPr>
        <w:t>〕</w:t>
      </w:r>
      <w:r>
        <w:rPr>
          <w:rFonts w:hint="eastAsia" w:ascii="仿宋_GB2312"/>
          <w:snapToGrid w:val="0"/>
          <w:kern w:val="0"/>
          <w:sz w:val="32"/>
          <w:szCs w:val="32"/>
          <w:lang w:val="en-US" w:eastAsia="zh-CN"/>
        </w:rPr>
        <w:t>20号</w:t>
      </w:r>
      <w:r>
        <w:rPr>
          <w:rFonts w:hint="eastAsia" w:ascii="仿宋_GB2312"/>
          <w:snapToGrid w:val="0"/>
          <w:kern w:val="0"/>
          <w:sz w:val="32"/>
          <w:szCs w:val="32"/>
          <w:lang w:eastAsia="zh-CN"/>
        </w:rPr>
        <w:t>）</w:t>
      </w:r>
      <w:r>
        <w:rPr>
          <w:rFonts w:hint="eastAsia" w:ascii="仿宋_GB2312"/>
          <w:snapToGrid w:val="0"/>
          <w:kern w:val="0"/>
          <w:sz w:val="32"/>
          <w:szCs w:val="32"/>
        </w:rPr>
        <w:t>等制度规定，制定本办法。</w:t>
      </w:r>
    </w:p>
    <w:p>
      <w:pPr>
        <w:keepNext w:val="0"/>
        <w:keepLines w:val="0"/>
        <w:pageBreakBefore w:val="0"/>
        <w:kinsoku/>
        <w:wordWrap/>
        <w:overflowPunct/>
        <w:topLinePunct w:val="0"/>
        <w:autoSpaceDE/>
        <w:autoSpaceDN/>
        <w:bidi w:val="0"/>
        <w:adjustRightInd w:val="0"/>
        <w:snapToGrid w:val="0"/>
        <w:spacing w:line="360" w:lineRule="auto"/>
        <w:ind w:firstLine="642" w:firstLineChars="200"/>
        <w:textAlignment w:val="auto"/>
        <w:rPr>
          <w:rFonts w:ascii="仿宋_GB2312"/>
          <w:snapToGrid w:val="0"/>
          <w:kern w:val="0"/>
          <w:sz w:val="32"/>
          <w:szCs w:val="32"/>
        </w:rPr>
      </w:pPr>
      <w:r>
        <w:rPr>
          <w:rFonts w:hint="eastAsia" w:ascii="仿宋_GB2312"/>
          <w:b/>
          <w:snapToGrid w:val="0"/>
          <w:kern w:val="0"/>
          <w:sz w:val="32"/>
          <w:szCs w:val="32"/>
        </w:rPr>
        <w:t>第</w:t>
      </w:r>
      <w:r>
        <w:rPr>
          <w:rFonts w:hint="eastAsia" w:ascii="仿宋_GB2312"/>
          <w:b/>
          <w:snapToGrid w:val="0"/>
          <w:kern w:val="0"/>
          <w:sz w:val="32"/>
          <w:szCs w:val="32"/>
          <w:lang w:eastAsia="zh-CN"/>
        </w:rPr>
        <w:t>二</w:t>
      </w:r>
      <w:r>
        <w:rPr>
          <w:rFonts w:hint="eastAsia" w:ascii="仿宋_GB2312"/>
          <w:b/>
          <w:snapToGrid w:val="0"/>
          <w:kern w:val="0"/>
          <w:sz w:val="32"/>
          <w:szCs w:val="32"/>
        </w:rPr>
        <w:t>条</w:t>
      </w:r>
      <w:r>
        <w:rPr>
          <w:rFonts w:hint="eastAsia" w:ascii="仿宋_GB2312"/>
          <w:b/>
          <w:snapToGrid w:val="0"/>
          <w:kern w:val="0"/>
          <w:sz w:val="32"/>
          <w:szCs w:val="32"/>
          <w:lang w:val="en-US" w:eastAsia="zh-CN"/>
        </w:rPr>
        <w:t xml:space="preserve"> </w:t>
      </w:r>
      <w:r>
        <w:rPr>
          <w:rFonts w:hint="eastAsia" w:ascii="仿宋_GB2312"/>
          <w:snapToGrid w:val="0"/>
          <w:kern w:val="0"/>
          <w:sz w:val="32"/>
          <w:szCs w:val="32"/>
        </w:rPr>
        <w:t>本办法适用于储蓄国债（电子式）和储蓄国债（凭证式）发行额度分配管理。国债发行通知另有规定的除外。</w:t>
      </w:r>
    </w:p>
    <w:p>
      <w:pPr>
        <w:keepNext w:val="0"/>
        <w:keepLines w:val="0"/>
        <w:pageBreakBefore w:val="0"/>
        <w:kinsoku/>
        <w:wordWrap/>
        <w:overflowPunct/>
        <w:topLinePunct w:val="0"/>
        <w:autoSpaceDE/>
        <w:autoSpaceDN/>
        <w:bidi w:val="0"/>
        <w:adjustRightInd w:val="0"/>
        <w:snapToGrid w:val="0"/>
        <w:spacing w:line="360" w:lineRule="auto"/>
        <w:ind w:firstLine="642" w:firstLineChars="200"/>
        <w:textAlignment w:val="auto"/>
        <w:rPr>
          <w:rFonts w:hint="eastAsia" w:ascii="仿宋_GB2312" w:eastAsia="仿宋_GB2312"/>
          <w:snapToGrid w:val="0"/>
          <w:kern w:val="0"/>
          <w:sz w:val="32"/>
          <w:szCs w:val="32"/>
          <w:lang w:eastAsia="zh-CN"/>
        </w:rPr>
      </w:pPr>
      <w:r>
        <w:rPr>
          <w:rFonts w:hint="eastAsia" w:ascii="仿宋_GB2312"/>
          <w:b/>
          <w:snapToGrid w:val="0"/>
          <w:kern w:val="0"/>
          <w:sz w:val="32"/>
          <w:szCs w:val="32"/>
        </w:rPr>
        <w:t>第</w:t>
      </w:r>
      <w:r>
        <w:rPr>
          <w:rFonts w:hint="eastAsia" w:ascii="仿宋_GB2312"/>
          <w:b/>
          <w:snapToGrid w:val="0"/>
          <w:kern w:val="0"/>
          <w:sz w:val="32"/>
          <w:szCs w:val="32"/>
          <w:lang w:eastAsia="zh-CN"/>
        </w:rPr>
        <w:t>三</w:t>
      </w:r>
      <w:r>
        <w:rPr>
          <w:rFonts w:hint="eastAsia" w:ascii="仿宋_GB2312"/>
          <w:b/>
          <w:snapToGrid w:val="0"/>
          <w:kern w:val="0"/>
          <w:sz w:val="32"/>
          <w:szCs w:val="32"/>
        </w:rPr>
        <w:t>条</w:t>
      </w:r>
      <w:r>
        <w:rPr>
          <w:rFonts w:hint="eastAsia" w:ascii="仿宋_GB2312"/>
          <w:snapToGrid w:val="0"/>
          <w:kern w:val="0"/>
          <w:sz w:val="32"/>
          <w:szCs w:val="32"/>
          <w:lang w:val="en-US" w:eastAsia="zh-CN"/>
        </w:rPr>
        <w:t xml:space="preserve"> </w:t>
      </w:r>
      <w:r>
        <w:rPr>
          <w:rFonts w:hint="eastAsia" w:ascii="仿宋_GB2312"/>
          <w:snapToGrid w:val="0"/>
          <w:kern w:val="0"/>
          <w:sz w:val="32"/>
          <w:szCs w:val="32"/>
          <w:lang w:eastAsia="zh-CN"/>
        </w:rPr>
        <w:t>储蓄国债承销团成员（以下称承销团成员）应当在获得的发行额度内销售储蓄国债。</w:t>
      </w:r>
    </w:p>
    <w:p>
      <w:pPr>
        <w:keepNext w:val="0"/>
        <w:keepLines w:val="0"/>
        <w:pageBreakBefore w:val="0"/>
        <w:kinsoku/>
        <w:wordWrap/>
        <w:overflowPunct/>
        <w:topLinePunct w:val="0"/>
        <w:autoSpaceDE/>
        <w:autoSpaceDN/>
        <w:bidi w:val="0"/>
        <w:adjustRightInd w:val="0"/>
        <w:snapToGrid w:val="0"/>
        <w:spacing w:line="360" w:lineRule="auto"/>
        <w:ind w:firstLine="642" w:firstLineChars="200"/>
        <w:textAlignment w:val="auto"/>
        <w:rPr>
          <w:snapToGrid w:val="0"/>
          <w:kern w:val="0"/>
          <w:sz w:val="32"/>
          <w:szCs w:val="32"/>
        </w:rPr>
      </w:pPr>
      <w:r>
        <w:rPr>
          <w:rFonts w:hint="eastAsia" w:ascii="仿宋_GB2312"/>
          <w:b/>
          <w:snapToGrid w:val="0"/>
          <w:kern w:val="0"/>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黑体" w:eastAsia="黑体"/>
          <w:sz w:val="32"/>
          <w:szCs w:val="32"/>
        </w:rPr>
      </w:pPr>
      <w:r>
        <w:rPr>
          <w:rFonts w:hint="eastAsia" w:ascii="黑体" w:eastAsia="黑体"/>
          <w:sz w:val="32"/>
          <w:szCs w:val="32"/>
        </w:rPr>
        <w:t>第二章 储蓄国债（电子式）发行额度管理</w:t>
      </w:r>
    </w:p>
    <w:p>
      <w:pPr>
        <w:keepNext w:val="0"/>
        <w:keepLines w:val="0"/>
        <w:pageBreakBefore w:val="0"/>
        <w:kinsoku/>
        <w:wordWrap/>
        <w:overflowPunct/>
        <w:topLinePunct w:val="0"/>
        <w:autoSpaceDE/>
        <w:autoSpaceDN/>
        <w:bidi w:val="0"/>
        <w:adjustRightInd w:val="0"/>
        <w:snapToGrid w:val="0"/>
        <w:spacing w:line="360" w:lineRule="auto"/>
        <w:ind w:firstLine="642" w:firstLineChars="200"/>
        <w:textAlignment w:val="auto"/>
        <w:rPr>
          <w:rFonts w:ascii="仿宋_GB2312"/>
          <w:sz w:val="32"/>
          <w:szCs w:val="32"/>
        </w:rPr>
      </w:pPr>
      <w:r>
        <w:rPr>
          <w:rFonts w:hint="eastAsia" w:ascii="仿宋_GB2312"/>
          <w:b/>
          <w:snapToGrid w:val="0"/>
          <w:kern w:val="0"/>
          <w:sz w:val="32"/>
          <w:szCs w:val="32"/>
        </w:rPr>
        <w:t>第</w:t>
      </w:r>
      <w:r>
        <w:rPr>
          <w:rFonts w:hint="eastAsia" w:ascii="仿宋_GB2312"/>
          <w:b/>
          <w:snapToGrid w:val="0"/>
          <w:kern w:val="0"/>
          <w:sz w:val="32"/>
          <w:szCs w:val="32"/>
          <w:lang w:eastAsia="zh-CN"/>
        </w:rPr>
        <w:t>四</w:t>
      </w:r>
      <w:r>
        <w:rPr>
          <w:rFonts w:hint="eastAsia" w:ascii="仿宋_GB2312"/>
          <w:b/>
          <w:snapToGrid w:val="0"/>
          <w:kern w:val="0"/>
          <w:sz w:val="32"/>
          <w:szCs w:val="32"/>
        </w:rPr>
        <w:t>条</w:t>
      </w:r>
      <w:r>
        <w:rPr>
          <w:rFonts w:hint="eastAsia" w:ascii="仿宋_GB2312"/>
          <w:b/>
          <w:snapToGrid w:val="0"/>
          <w:kern w:val="0"/>
          <w:sz w:val="32"/>
          <w:szCs w:val="32"/>
          <w:lang w:val="en-US" w:eastAsia="zh-CN"/>
        </w:rPr>
        <w:t xml:space="preserve"> </w:t>
      </w:r>
      <w:r>
        <w:rPr>
          <w:rFonts w:hint="eastAsia" w:ascii="仿宋_GB2312"/>
          <w:snapToGrid w:val="0"/>
          <w:kern w:val="0"/>
          <w:sz w:val="32"/>
          <w:szCs w:val="32"/>
        </w:rPr>
        <w:t>储蓄国债（电子式）发行额度分为基本代销额度和机动代销额度</w:t>
      </w:r>
      <w:r>
        <w:rPr>
          <w:rFonts w:hint="eastAsia" w:ascii="仿宋_GB2312"/>
          <w:snapToGrid w:val="0"/>
          <w:kern w:val="0"/>
          <w:sz w:val="32"/>
          <w:szCs w:val="32"/>
          <w:lang w:eastAsia="zh-CN"/>
        </w:rPr>
        <w:t>。</w:t>
      </w:r>
      <w:r>
        <w:rPr>
          <w:rFonts w:hint="eastAsia" w:ascii="仿宋_GB2312"/>
          <w:sz w:val="32"/>
          <w:szCs w:val="32"/>
        </w:rPr>
        <w:t>发行开始前，财政部会同</w:t>
      </w:r>
      <w:r>
        <w:rPr>
          <w:rFonts w:hint="default" w:ascii="仿宋_GB2312"/>
          <w:sz w:val="32"/>
          <w:szCs w:val="32"/>
          <w:lang w:val="en"/>
        </w:rPr>
        <w:t>人民银行</w:t>
      </w:r>
      <w:r>
        <w:rPr>
          <w:rFonts w:hint="eastAsia" w:ascii="仿宋_GB2312"/>
          <w:sz w:val="32"/>
          <w:szCs w:val="32"/>
        </w:rPr>
        <w:t>根据发行通知规定，将当期</w:t>
      </w:r>
      <w:r>
        <w:rPr>
          <w:rFonts w:hint="eastAsia" w:ascii="仿宋_GB2312"/>
          <w:snapToGrid w:val="0"/>
          <w:kern w:val="0"/>
          <w:sz w:val="32"/>
          <w:szCs w:val="32"/>
        </w:rPr>
        <w:t>储蓄国债（电子式）</w:t>
      </w:r>
      <w:r>
        <w:rPr>
          <w:rFonts w:hint="eastAsia" w:ascii="仿宋_GB2312"/>
          <w:sz w:val="32"/>
          <w:szCs w:val="32"/>
          <w:lang w:eastAsia="zh-CN"/>
        </w:rPr>
        <w:t>计划</w:t>
      </w:r>
      <w:r>
        <w:rPr>
          <w:rFonts w:hint="eastAsia" w:ascii="仿宋_GB2312"/>
          <w:sz w:val="32"/>
          <w:szCs w:val="32"/>
        </w:rPr>
        <w:t>最大发行额的</w:t>
      </w:r>
      <w:r>
        <w:rPr>
          <w:rFonts w:hint="eastAsia" w:ascii="仿宋_GB2312"/>
          <w:sz w:val="32"/>
          <w:szCs w:val="32"/>
          <w:lang w:val="en-US" w:eastAsia="zh-CN"/>
        </w:rPr>
        <w:t>70%</w:t>
      </w:r>
      <w:r>
        <w:rPr>
          <w:rFonts w:hint="eastAsia" w:ascii="仿宋_GB2312"/>
          <w:sz w:val="32"/>
          <w:szCs w:val="32"/>
        </w:rPr>
        <w:t>作为基本代销额度，按照各承销团成员基本代销额度比例分配给承销团成员</w:t>
      </w:r>
      <w:r>
        <w:rPr>
          <w:rFonts w:hint="eastAsia" w:ascii="仿宋_GB2312"/>
          <w:sz w:val="32"/>
          <w:szCs w:val="32"/>
          <w:lang w:eastAsia="zh-CN"/>
        </w:rPr>
        <w:t>；</w:t>
      </w:r>
      <w:r>
        <w:rPr>
          <w:rFonts w:hint="eastAsia" w:ascii="仿宋_GB2312"/>
          <w:sz w:val="32"/>
          <w:szCs w:val="32"/>
        </w:rPr>
        <w:t>其余</w:t>
      </w:r>
      <w:r>
        <w:rPr>
          <w:rFonts w:hint="eastAsia" w:ascii="仿宋_GB2312"/>
          <w:sz w:val="32"/>
          <w:szCs w:val="32"/>
          <w:lang w:val="en-US" w:eastAsia="zh-CN"/>
        </w:rPr>
        <w:t>30%</w:t>
      </w:r>
      <w:r>
        <w:rPr>
          <w:rFonts w:hint="eastAsia" w:ascii="仿宋_GB2312"/>
          <w:sz w:val="32"/>
          <w:szCs w:val="32"/>
        </w:rPr>
        <w:t>发行额度作为机动代销额度在发行期内供各承销团成员抓取。</w:t>
      </w:r>
    </w:p>
    <w:p>
      <w:pPr>
        <w:keepNext w:val="0"/>
        <w:keepLines w:val="0"/>
        <w:pageBreakBefore w:val="0"/>
        <w:kinsoku/>
        <w:wordWrap/>
        <w:overflowPunct/>
        <w:topLinePunct w:val="0"/>
        <w:autoSpaceDE/>
        <w:autoSpaceDN/>
        <w:bidi w:val="0"/>
        <w:adjustRightInd w:val="0"/>
        <w:snapToGrid w:val="0"/>
        <w:spacing w:line="360" w:lineRule="auto"/>
        <w:ind w:firstLine="642" w:firstLineChars="200"/>
        <w:textAlignment w:val="auto"/>
        <w:rPr>
          <w:rFonts w:ascii="仿宋_GB2312"/>
          <w:snapToGrid w:val="0"/>
          <w:kern w:val="0"/>
          <w:sz w:val="32"/>
          <w:szCs w:val="32"/>
        </w:rPr>
      </w:pPr>
      <w:r>
        <w:rPr>
          <w:rFonts w:hint="eastAsia" w:ascii="仿宋_GB2312"/>
          <w:b/>
          <w:bCs/>
          <w:sz w:val="32"/>
          <w:szCs w:val="32"/>
          <w:lang w:eastAsia="zh-CN"/>
        </w:rPr>
        <w:t>第五条</w:t>
      </w:r>
      <w:r>
        <w:rPr>
          <w:rFonts w:hint="eastAsia" w:ascii="仿宋_GB2312"/>
          <w:b/>
          <w:bCs/>
          <w:sz w:val="32"/>
          <w:szCs w:val="32"/>
          <w:lang w:val="en-US" w:eastAsia="zh-CN"/>
        </w:rPr>
        <w:t xml:space="preserve"> </w:t>
      </w:r>
      <w:r>
        <w:rPr>
          <w:rFonts w:hint="eastAsia" w:ascii="仿宋_GB2312"/>
          <w:snapToGrid w:val="0"/>
          <w:kern w:val="0"/>
          <w:sz w:val="32"/>
          <w:szCs w:val="32"/>
        </w:rPr>
        <w:t>财政部会同</w:t>
      </w:r>
      <w:r>
        <w:rPr>
          <w:rFonts w:hint="default" w:ascii="仿宋_GB2312"/>
          <w:snapToGrid w:val="0"/>
          <w:kern w:val="0"/>
          <w:sz w:val="32"/>
          <w:szCs w:val="32"/>
          <w:lang w:val="en"/>
        </w:rPr>
        <w:t>人民银行</w:t>
      </w:r>
      <w:r>
        <w:rPr>
          <w:rFonts w:hint="eastAsia" w:ascii="仿宋_GB2312"/>
          <w:snapToGrid w:val="0"/>
          <w:kern w:val="0"/>
          <w:sz w:val="32"/>
          <w:szCs w:val="32"/>
        </w:rPr>
        <w:t>以季度为周期，调整各承销团成员储蓄国债（电子式）基本代销额度比例</w:t>
      </w:r>
      <w:r>
        <w:rPr>
          <w:rFonts w:hint="eastAsia" w:ascii="仿宋_GB2312"/>
          <w:snapToGrid w:val="0"/>
          <w:kern w:val="0"/>
          <w:sz w:val="32"/>
          <w:szCs w:val="32"/>
          <w:lang w:eastAsia="zh-CN"/>
        </w:rPr>
        <w:t>，并在</w:t>
      </w:r>
      <w:r>
        <w:rPr>
          <w:rFonts w:hint="eastAsia" w:ascii="仿宋_GB2312"/>
          <w:snapToGrid w:val="0"/>
          <w:kern w:val="0"/>
          <w:sz w:val="32"/>
          <w:szCs w:val="32"/>
        </w:rPr>
        <w:t>每季度首期储蓄国债（电子式）发行通知中公布。</w:t>
      </w:r>
      <w:r>
        <w:rPr>
          <w:rFonts w:hint="eastAsia" w:ascii="仿宋_GB2312"/>
          <w:snapToGrid w:val="0"/>
          <w:kern w:val="0"/>
          <w:sz w:val="32"/>
          <w:szCs w:val="32"/>
          <w:lang w:eastAsia="zh-CN"/>
        </w:rPr>
        <w:t>承销团成员</w:t>
      </w:r>
      <w:r>
        <w:rPr>
          <w:rFonts w:hint="eastAsia" w:ascii="仿宋_GB2312"/>
          <w:snapToGrid w:val="0"/>
          <w:kern w:val="0"/>
          <w:sz w:val="32"/>
          <w:szCs w:val="32"/>
        </w:rPr>
        <w:t>基本代销额度比例</w:t>
      </w:r>
      <w:r>
        <w:rPr>
          <w:rFonts w:hint="eastAsia" w:ascii="仿宋_GB2312"/>
          <w:snapToGrid w:val="0"/>
          <w:kern w:val="0"/>
          <w:sz w:val="32"/>
          <w:szCs w:val="32"/>
          <w:lang w:eastAsia="zh-CN"/>
        </w:rPr>
        <w:t>计算和</w:t>
      </w:r>
      <w:r>
        <w:rPr>
          <w:rFonts w:hint="eastAsia" w:ascii="仿宋_GB2312"/>
          <w:snapToGrid w:val="0"/>
          <w:kern w:val="0"/>
          <w:sz w:val="32"/>
          <w:szCs w:val="32"/>
        </w:rPr>
        <w:t>调整方法为：</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snapToGrid w:val="0"/>
          <w:kern w:val="0"/>
          <w:sz w:val="32"/>
          <w:szCs w:val="32"/>
          <w:lang w:eastAsia="zh-CN"/>
        </w:rPr>
      </w:pPr>
      <w:r>
        <w:rPr>
          <w:rFonts w:hint="eastAsia" w:ascii="仿宋_GB2312"/>
          <w:snapToGrid w:val="0"/>
          <w:kern w:val="0"/>
          <w:sz w:val="32"/>
          <w:szCs w:val="32"/>
        </w:rPr>
        <w:t>（一）</w:t>
      </w:r>
      <w:r>
        <w:rPr>
          <w:rFonts w:hint="eastAsia" w:ascii="仿宋_GB2312"/>
          <w:snapToGrid w:val="0"/>
          <w:kern w:val="0"/>
          <w:sz w:val="32"/>
          <w:szCs w:val="32"/>
          <w:lang w:eastAsia="zh-CN"/>
        </w:rPr>
        <w:t>计算</w:t>
      </w:r>
      <w:r>
        <w:rPr>
          <w:rFonts w:hint="eastAsia" w:ascii="仿宋_GB2312"/>
          <w:snapToGrid w:val="0"/>
          <w:kern w:val="0"/>
          <w:sz w:val="32"/>
          <w:szCs w:val="32"/>
        </w:rPr>
        <w:t>新加入承销团的成员（以下称新成员）首季度基本代销额度比例</w:t>
      </w:r>
      <w:r>
        <w:rPr>
          <w:rFonts w:hint="eastAsia" w:ascii="仿宋_GB2312"/>
          <w:snapToGrid w:val="0"/>
          <w:kern w:val="0"/>
          <w:sz w:val="32"/>
          <w:szCs w:val="32"/>
          <w:lang w:eastAsia="zh-CN"/>
        </w:rPr>
        <w:t>：</w:t>
      </w:r>
    </w:p>
    <w:p>
      <w:pPr>
        <w:keepNext w:val="0"/>
        <w:keepLines w:val="0"/>
        <w:pageBreakBefore w:val="0"/>
        <w:kinsoku/>
        <w:wordWrap/>
        <w:overflowPunct/>
        <w:topLinePunct w:val="0"/>
        <w:autoSpaceDE/>
        <w:autoSpaceDN/>
        <w:bidi w:val="0"/>
        <w:adjustRightInd w:val="0"/>
        <w:snapToGrid w:val="0"/>
        <w:spacing w:line="360" w:lineRule="auto"/>
        <w:ind w:firstLine="0" w:firstLineChars="0"/>
        <w:textAlignment w:val="auto"/>
        <w:rPr>
          <w:rFonts w:hint="eastAsia" w:ascii="仿宋_GB2312"/>
          <w:snapToGrid w:val="0"/>
          <w:kern w:val="0"/>
          <w:sz w:val="32"/>
          <w:szCs w:val="32"/>
          <w:lang w:eastAsia="zh-CN"/>
        </w:rPr>
      </w:pPr>
      <m:oMathPara>
        <m:oMathParaPr>
          <m:jc m:val="center"/>
        </m:oMathParaPr>
        <m:oMath>
          <m:r>
            <m:rPr>
              <m:sty m:val="p"/>
            </m:rPr>
            <w:rPr>
              <w:rFonts w:hint="eastAsia" w:ascii="DejaVu Math TeX Gyre" w:hAnsi="DejaVu Math TeX Gyre"/>
              <w:snapToGrid w:val="0"/>
              <w:kern w:val="0"/>
              <w:sz w:val="21"/>
              <w:szCs w:val="21"/>
            </w:rPr>
            <m:t>新成员首季度基本代销额度比例</m:t>
          </m:r>
          <m:r>
            <m:rPr>
              <m:sty m:val="p"/>
            </m:rPr>
            <w:rPr>
              <w:rFonts w:ascii="DejaVu Math TeX Gyre" w:hAnsi="DejaVu Math TeX Gyre"/>
              <w:snapToGrid w:val="0"/>
              <w:kern w:val="0"/>
              <w:sz w:val="21"/>
              <w:szCs w:val="21"/>
            </w:rPr>
            <m:t>=</m:t>
          </m:r>
          <m:nary>
            <m:naryPr>
              <m:chr m:val="∑"/>
              <m:limLoc m:val="undOvr"/>
              <m:subHide m:val="true"/>
              <m:supHide m:val="true"/>
              <m:ctrlPr>
                <w:rPr>
                  <w:rFonts w:ascii="DejaVu Math TeX Gyre" w:hAnsi="DejaVu Math TeX Gyre"/>
                  <w:snapToGrid w:val="0"/>
                  <w:kern w:val="0"/>
                  <w:sz w:val="21"/>
                  <w:szCs w:val="21"/>
                </w:rPr>
              </m:ctrlPr>
            </m:naryPr>
            <m:sub>
              <m:ctrlPr>
                <w:rPr>
                  <w:rFonts w:ascii="DejaVu Math TeX Gyre" w:hAnsi="DejaVu Math TeX Gyre"/>
                  <w:snapToGrid w:val="0"/>
                  <w:kern w:val="0"/>
                  <w:sz w:val="21"/>
                  <w:szCs w:val="21"/>
                </w:rPr>
              </m:ctrlPr>
            </m:sub>
            <m:sup>
              <m:ctrlPr>
                <w:rPr>
                  <w:rFonts w:ascii="DejaVu Math TeX Gyre" w:hAnsi="DejaVu Math TeX Gyre"/>
                  <w:snapToGrid w:val="0"/>
                  <w:kern w:val="0"/>
                  <w:sz w:val="21"/>
                  <w:szCs w:val="21"/>
                </w:rPr>
              </m:ctrlPr>
            </m:sup>
            <m:e>
              <m:eqArr>
                <m:eqArrPr>
                  <m:ctrlPr>
                    <w:rPr>
                      <w:rFonts w:hint="eastAsia" w:ascii="DejaVu Math TeX Gyre" w:hAnsi="DejaVu Math TeX Gyre"/>
                      <w:snapToGrid w:val="0"/>
                      <w:kern w:val="0"/>
                      <w:sz w:val="21"/>
                      <w:szCs w:val="21"/>
                      <w:lang w:eastAsia="zh-CN"/>
                    </w:rPr>
                  </m:ctrlPr>
                </m:eqArrPr>
                <m:e>
                  <m:r>
                    <m:rPr>
                      <m:sty m:val="p"/>
                    </m:rPr>
                    <w:rPr>
                      <w:rFonts w:hint="eastAsia" w:ascii="DejaVu Math TeX Gyre" w:hAnsi="DejaVu Math TeX Gyre"/>
                      <w:snapToGrid w:val="0"/>
                      <w:kern w:val="0"/>
                      <w:sz w:val="21"/>
                      <w:szCs w:val="21"/>
                      <w:lang w:eastAsia="zh-CN"/>
                    </w:rPr>
                    <m:t>退出承销团成员上一季度</m:t>
                  </m:r>
                  <m:ctrlPr>
                    <w:rPr>
                      <w:rFonts w:hint="eastAsia" w:ascii="DejaVu Math TeX Gyre" w:hAnsi="DejaVu Math TeX Gyre"/>
                      <w:snapToGrid w:val="0"/>
                      <w:kern w:val="0"/>
                      <w:sz w:val="21"/>
                      <w:szCs w:val="21"/>
                      <w:lang w:eastAsia="zh-CN"/>
                    </w:rPr>
                  </m:ctrlPr>
                </m:e>
                <m:e>
                  <m:r>
                    <m:rPr>
                      <m:sty m:val="p"/>
                    </m:rPr>
                    <w:rPr>
                      <w:rFonts w:hint="eastAsia" w:ascii="DejaVu Math TeX Gyre" w:hAnsi="DejaVu Math TeX Gyre"/>
                      <w:snapToGrid w:val="0"/>
                      <w:kern w:val="0"/>
                      <w:sz w:val="21"/>
                      <w:szCs w:val="21"/>
                      <w:lang w:eastAsia="zh-CN"/>
                    </w:rPr>
                    <m:t>基本代销额度比例</m:t>
                  </m:r>
                  <m:ctrlPr>
                    <w:rPr>
                      <w:rFonts w:ascii="DejaVu Math TeX Gyre" w:hAnsi="DejaVu Math TeX Gyre"/>
                      <w:snapToGrid w:val="0"/>
                      <w:kern w:val="0"/>
                      <w:sz w:val="21"/>
                      <w:szCs w:val="21"/>
                    </w:rPr>
                  </m:ctrlPr>
                </m:e>
              </m:eqArr>
              <m:r>
                <m:rPr>
                  <m:sty m:val="p"/>
                </m:rPr>
                <w:rPr>
                  <w:rFonts w:ascii="DejaVu Math TeX Gyre" w:hAnsi="DejaVu Math TeX Gyre"/>
                  <w:snapToGrid w:val="0"/>
                  <w:kern w:val="0"/>
                  <w:sz w:val="21"/>
                  <w:szCs w:val="21"/>
                </w:rPr>
                <m:t>÷</m:t>
              </m:r>
              <m:r>
                <m:rPr>
                  <m:sty m:val="p"/>
                </m:rPr>
                <w:rPr>
                  <w:rFonts w:hint="eastAsia" w:ascii="DejaVu Math TeX Gyre" w:hAnsi="DejaVu Math TeX Gyre"/>
                  <w:snapToGrid w:val="0"/>
                  <w:kern w:val="0"/>
                  <w:sz w:val="21"/>
                  <w:szCs w:val="21"/>
                  <w:lang w:eastAsia="zh-CN"/>
                </w:rPr>
                <m:t>新成员数量</m:t>
              </m:r>
              <m:ctrlPr>
                <w:rPr>
                  <w:rFonts w:hint="eastAsia" w:ascii="DejaVu Math TeX Gyre" w:hAnsi="DejaVu Math TeX Gyre"/>
                  <w:snapToGrid w:val="0"/>
                  <w:kern w:val="0"/>
                  <w:sz w:val="21"/>
                  <w:szCs w:val="21"/>
                  <w:lang w:eastAsia="zh-CN"/>
                </w:rPr>
              </m:ctrlPr>
            </m:e>
          </m:nary>
        </m:oMath>
      </m:oMathPara>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snapToGrid w:val="0"/>
          <w:kern w:val="0"/>
          <w:sz w:val="32"/>
          <w:szCs w:val="32"/>
          <w:lang w:eastAsia="zh-CN"/>
        </w:rPr>
      </w:pPr>
      <w:r>
        <w:rPr>
          <w:rFonts w:hint="eastAsia" w:ascii="仿宋_GB2312"/>
          <w:snapToGrid w:val="0"/>
          <w:kern w:val="0"/>
          <w:sz w:val="32"/>
          <w:szCs w:val="32"/>
          <w:lang w:eastAsia="zh-CN"/>
        </w:rPr>
        <w:t>（二）计算其他承销团成员基本代销额度比例：</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仿宋_GB2312" w:hAnsi="仿宋_GB2312" w:cs="仿宋_GB2312"/>
          <w:snapToGrid w:val="0"/>
          <w:kern w:val="0"/>
          <w:sz w:val="32"/>
          <w:szCs w:val="32"/>
          <w:lang w:val="en" w:eastAsia="zh-CN" w:bidi="ar-SA"/>
        </w:rPr>
      </w:pPr>
      <m:oMathPara>
        <m:oMathParaPr>
          <m:jc m:val="left"/>
        </m:oMathParaPr>
        <m:oMath>
          <m:r>
            <m:rPr>
              <m:sty m:val="p"/>
            </m:rPr>
            <w:rPr>
              <w:rFonts w:hint="eastAsia" w:ascii="DejaVu Math TeX Gyre" w:hAnsi="DejaVu Math TeX Gyre" w:cs="仿宋_GB2312"/>
              <w:snapToGrid w:val="0"/>
              <w:kern w:val="0"/>
              <w:sz w:val="21"/>
              <w:szCs w:val="21"/>
              <w:lang w:val="en-US" w:eastAsia="zh-CN" w:bidi="ar-SA"/>
            </w:rPr>
            <m:t>某承销团成员新基本代销额度比例</m:t>
          </m:r>
          <m:r>
            <m:rPr>
              <m:sty m:val="p"/>
            </m:rPr>
            <w:rPr>
              <w:rFonts w:hint="eastAsia" w:ascii="DejaVu Math TeX Gyre" w:hAnsi="DejaVu Math TeX Gyre" w:cs="仿宋_GB2312"/>
              <w:snapToGrid w:val="0"/>
              <w:kern w:val="0"/>
              <w:sz w:val="21"/>
              <w:szCs w:val="21"/>
              <w:lang w:val="en" w:eastAsia="zh-CN" w:bidi="ar-SA"/>
            </w:rPr>
            <m:t>=</m:t>
          </m:r>
          <m:f>
            <m:fPr>
              <m:ctrlPr>
                <w:rPr>
                  <w:rFonts w:hint="eastAsia" w:ascii="DejaVu Math TeX Gyre" w:hAnsi="DejaVu Math TeX Gyre" w:cs="仿宋_GB2312"/>
                  <w:b w:val="0"/>
                  <w:i w:val="0"/>
                  <w:snapToGrid w:val="0"/>
                  <w:kern w:val="0"/>
                  <w:sz w:val="21"/>
                  <w:szCs w:val="21"/>
                  <w:lang w:val="en" w:eastAsia="zh-CN" w:bidi="ar-SA"/>
                </w:rPr>
              </m:ctrlPr>
            </m:fPr>
            <m:num>
              <m:nary>
                <m:naryPr>
                  <m:chr m:val="∑"/>
                  <m:limLoc m:val="undOvr"/>
                  <m:subHide m:val="true"/>
                  <m:supHide m:val="true"/>
                  <m:ctrlPr>
                    <w:rPr>
                      <w:rFonts w:hint="eastAsia" w:ascii="DejaVu Math TeX Gyre" w:hAnsi="DejaVu Math TeX Gyre" w:cs="仿宋_GB2312"/>
                      <w:b w:val="0"/>
                      <w:i w:val="0"/>
                      <w:snapToGrid w:val="0"/>
                      <w:kern w:val="0"/>
                      <w:sz w:val="21"/>
                      <w:szCs w:val="21"/>
                      <w:lang w:val="en" w:eastAsia="zh-CN" w:bidi="ar-SA"/>
                    </w:rPr>
                  </m:ctrlPr>
                </m:naryPr>
                <m:sub>
                  <m:ctrlPr>
                    <w:rPr>
                      <w:rFonts w:hint="eastAsia" w:ascii="DejaVu Math TeX Gyre" w:hAnsi="DejaVu Math TeX Gyre" w:cs="仿宋_GB2312"/>
                      <w:b w:val="0"/>
                      <w:i w:val="0"/>
                      <w:snapToGrid w:val="0"/>
                      <w:kern w:val="0"/>
                      <w:sz w:val="21"/>
                      <w:szCs w:val="21"/>
                      <w:lang w:val="en" w:eastAsia="zh-CN" w:bidi="ar-SA"/>
                    </w:rPr>
                  </m:ctrlPr>
                </m:sub>
                <m:sup>
                  <m:ctrlPr>
                    <w:rPr>
                      <w:rFonts w:hint="eastAsia" w:ascii="DejaVu Math TeX Gyre" w:hAnsi="DejaVu Math TeX Gyre" w:cs="仿宋_GB2312"/>
                      <w:b w:val="0"/>
                      <w:i w:val="0"/>
                      <w:snapToGrid w:val="0"/>
                      <w:kern w:val="0"/>
                      <w:sz w:val="21"/>
                      <w:szCs w:val="21"/>
                      <w:lang w:val="en" w:eastAsia="zh-CN" w:bidi="ar-SA"/>
                    </w:rPr>
                  </m:ctrlPr>
                </m:sup>
                <m:e>
                  <m:eqArr>
                    <m:eqArrPr>
                      <m:ctrlPr>
                        <w:rPr>
                          <w:rFonts w:hint="eastAsia" w:ascii="DejaVu Math TeX Gyre" w:hAnsi="DejaVu Math TeX Gyre" w:cs="仿宋_GB2312"/>
                          <w:b w:val="0"/>
                          <w:i w:val="0"/>
                          <w:snapToGrid w:val="0"/>
                          <w:kern w:val="0"/>
                          <w:sz w:val="21"/>
                          <w:szCs w:val="21"/>
                          <w:lang w:val="en" w:eastAsia="zh-CN" w:bidi="ar-SA"/>
                        </w:rPr>
                      </m:ctrlPr>
                    </m:eqArrPr>
                    <m:e>
                      <m:r>
                        <m:rPr>
                          <m:sty m:val="p"/>
                        </m:rPr>
                        <w:rPr>
                          <w:rFonts w:hint="eastAsia" w:ascii="DejaVu Math TeX Gyre" w:hAnsi="DejaVu Math TeX Gyre" w:cs="仿宋_GB2312"/>
                          <w:snapToGrid w:val="0"/>
                          <w:kern w:val="0"/>
                          <w:sz w:val="21"/>
                          <w:szCs w:val="21"/>
                          <w:lang w:val="en" w:eastAsia="zh-CN" w:bidi="ar-SA"/>
                        </w:rPr>
                        <m:t>其上一季度各期储蓄</m:t>
                      </m:r>
                      <m:ctrlPr>
                        <w:rPr>
                          <w:rFonts w:hint="eastAsia" w:ascii="DejaVu Math TeX Gyre" w:hAnsi="DejaVu Math TeX Gyre" w:cs="仿宋_GB2312"/>
                          <w:b w:val="0"/>
                          <w:i w:val="0"/>
                          <w:snapToGrid w:val="0"/>
                          <w:kern w:val="0"/>
                          <w:sz w:val="21"/>
                          <w:szCs w:val="21"/>
                          <w:lang w:val="en" w:eastAsia="zh-CN" w:bidi="ar-SA"/>
                        </w:rPr>
                      </m:ctrlPr>
                    </m:e>
                    <m:e>
                      <m:r>
                        <m:rPr>
                          <m:sty m:val="p"/>
                        </m:rPr>
                        <w:rPr>
                          <w:rFonts w:hint="eastAsia" w:ascii="DejaVu Math TeX Gyre" w:hAnsi="DejaVu Math TeX Gyre" w:cs="仿宋_GB2312"/>
                          <w:snapToGrid w:val="0"/>
                          <w:kern w:val="0"/>
                          <w:sz w:val="21"/>
                          <w:szCs w:val="21"/>
                          <w:lang w:val="en" w:eastAsia="zh-CN" w:bidi="ar-SA"/>
                        </w:rPr>
                        <m:t>国债（电子式）销售量</m:t>
                      </m:r>
                      <m:ctrlPr>
                        <w:rPr>
                          <w:rFonts w:hint="eastAsia" w:ascii="DejaVu Math TeX Gyre" w:hAnsi="DejaVu Math TeX Gyre" w:cs="仿宋_GB2312"/>
                          <w:b w:val="0"/>
                          <w:i w:val="0"/>
                          <w:snapToGrid w:val="0"/>
                          <w:kern w:val="0"/>
                          <w:sz w:val="21"/>
                          <w:szCs w:val="21"/>
                          <w:lang w:val="en" w:eastAsia="zh-CN" w:bidi="ar-SA"/>
                        </w:rPr>
                      </m:ctrlPr>
                    </m:e>
                  </m:eqArr>
                  <m:ctrlPr>
                    <w:rPr>
                      <w:rFonts w:hint="eastAsia" w:ascii="DejaVu Math TeX Gyre" w:hAnsi="DejaVu Math TeX Gyre" w:cs="仿宋_GB2312"/>
                      <w:b w:val="0"/>
                      <w:i w:val="0"/>
                      <w:snapToGrid w:val="0"/>
                      <w:kern w:val="0"/>
                      <w:sz w:val="21"/>
                      <w:szCs w:val="21"/>
                      <w:lang w:val="en" w:eastAsia="zh-CN" w:bidi="ar-SA"/>
                    </w:rPr>
                  </m:ctrlPr>
                </m:e>
              </m:nary>
              <m:ctrlPr>
                <w:rPr>
                  <w:rFonts w:hint="eastAsia" w:ascii="DejaVu Math TeX Gyre" w:hAnsi="DejaVu Math TeX Gyre" w:cs="仿宋_GB2312"/>
                  <w:b w:val="0"/>
                  <w:i w:val="0"/>
                  <w:snapToGrid w:val="0"/>
                  <w:kern w:val="0"/>
                  <w:sz w:val="21"/>
                  <w:szCs w:val="21"/>
                  <w:lang w:val="en" w:eastAsia="zh-CN" w:bidi="ar-SA"/>
                </w:rPr>
              </m:ctrlPr>
            </m:num>
            <m:den>
              <m:nary>
                <m:naryPr>
                  <m:chr m:val="∑"/>
                  <m:limLoc m:val="undOvr"/>
                  <m:subHide m:val="true"/>
                  <m:supHide m:val="true"/>
                  <m:ctrlPr>
                    <w:rPr>
                      <w:rFonts w:hint="eastAsia" w:ascii="DejaVu Math TeX Gyre" w:hAnsi="DejaVu Math TeX Gyre" w:cs="仿宋_GB2312"/>
                      <w:b w:val="0"/>
                      <w:i w:val="0"/>
                      <w:snapToGrid w:val="0"/>
                      <w:kern w:val="0"/>
                      <w:sz w:val="21"/>
                      <w:szCs w:val="21"/>
                      <w:lang w:val="en" w:eastAsia="zh-CN" w:bidi="ar-SA"/>
                    </w:rPr>
                  </m:ctrlPr>
                </m:naryPr>
                <m:sub>
                  <m:ctrlPr>
                    <w:rPr>
                      <w:rFonts w:hint="eastAsia" w:ascii="DejaVu Math TeX Gyre" w:hAnsi="DejaVu Math TeX Gyre" w:cs="仿宋_GB2312"/>
                      <w:b w:val="0"/>
                      <w:i w:val="0"/>
                      <w:snapToGrid w:val="0"/>
                      <w:kern w:val="0"/>
                      <w:sz w:val="21"/>
                      <w:szCs w:val="21"/>
                      <w:lang w:val="en" w:eastAsia="zh-CN" w:bidi="ar-SA"/>
                    </w:rPr>
                  </m:ctrlPr>
                </m:sub>
                <m:sup>
                  <m:ctrlPr>
                    <w:rPr>
                      <w:rFonts w:hint="eastAsia" w:ascii="DejaVu Math TeX Gyre" w:hAnsi="DejaVu Math TeX Gyre" w:cs="仿宋_GB2312"/>
                      <w:b w:val="0"/>
                      <w:i w:val="0"/>
                      <w:snapToGrid w:val="0"/>
                      <w:kern w:val="0"/>
                      <w:sz w:val="21"/>
                      <w:szCs w:val="21"/>
                      <w:lang w:val="en" w:eastAsia="zh-CN" w:bidi="ar-SA"/>
                    </w:rPr>
                  </m:ctrlPr>
                </m:sup>
                <m:e>
                  <m:eqArr>
                    <m:eqArrPr>
                      <m:ctrlPr>
                        <w:rPr>
                          <w:rFonts w:hint="eastAsia" w:ascii="DejaVu Math TeX Gyre" w:hAnsi="DejaVu Math TeX Gyre" w:cs="仿宋_GB2312"/>
                          <w:b w:val="0"/>
                          <w:i w:val="0"/>
                          <w:snapToGrid w:val="0"/>
                          <w:kern w:val="0"/>
                          <w:sz w:val="21"/>
                          <w:szCs w:val="21"/>
                          <w:lang w:val="en" w:eastAsia="zh-CN" w:bidi="ar-SA"/>
                        </w:rPr>
                      </m:ctrlPr>
                    </m:eqArrPr>
                    <m:e>
                      <m:r>
                        <m:rPr>
                          <m:sty m:val="p"/>
                        </m:rPr>
                        <w:rPr>
                          <w:rFonts w:hint="eastAsia" w:ascii="DejaVu Math TeX Gyre" w:hAnsi="DejaVu Math TeX Gyre" w:cs="仿宋_GB2312"/>
                          <w:snapToGrid w:val="0"/>
                          <w:kern w:val="0"/>
                          <w:sz w:val="21"/>
                          <w:szCs w:val="21"/>
                          <w:lang w:val="en" w:eastAsia="zh-CN" w:bidi="ar-SA"/>
                        </w:rPr>
                        <m:t>参与调整的承销团成员上一季度</m:t>
                      </m:r>
                      <m:ctrlPr>
                        <w:rPr>
                          <w:rFonts w:hint="eastAsia" w:ascii="DejaVu Math TeX Gyre" w:hAnsi="DejaVu Math TeX Gyre" w:cs="仿宋_GB2312"/>
                          <w:b w:val="0"/>
                          <w:i w:val="0"/>
                          <w:snapToGrid w:val="0"/>
                          <w:kern w:val="0"/>
                          <w:sz w:val="21"/>
                          <w:szCs w:val="21"/>
                          <w:lang w:val="en" w:eastAsia="zh-CN" w:bidi="ar-SA"/>
                        </w:rPr>
                      </m:ctrlPr>
                    </m:e>
                    <m:e>
                      <m:r>
                        <m:rPr>
                          <m:sty m:val="p"/>
                        </m:rPr>
                        <w:rPr>
                          <w:rFonts w:hint="eastAsia" w:ascii="DejaVu Math TeX Gyre" w:hAnsi="DejaVu Math TeX Gyre" w:cs="仿宋_GB2312"/>
                          <w:snapToGrid w:val="0"/>
                          <w:kern w:val="0"/>
                          <w:sz w:val="21"/>
                          <w:szCs w:val="21"/>
                          <w:lang w:val="en" w:eastAsia="zh-CN" w:bidi="ar-SA"/>
                        </w:rPr>
                        <m:t>各期储蓄国债（电子式）销售量</m:t>
                      </m:r>
                      <m:ctrlPr>
                        <w:rPr>
                          <w:rFonts w:hint="eastAsia" w:ascii="DejaVu Math TeX Gyre" w:hAnsi="DejaVu Math TeX Gyre" w:cs="仿宋_GB2312"/>
                          <w:b w:val="0"/>
                          <w:i w:val="0"/>
                          <w:snapToGrid w:val="0"/>
                          <w:kern w:val="0"/>
                          <w:sz w:val="21"/>
                          <w:szCs w:val="21"/>
                          <w:lang w:val="en" w:eastAsia="zh-CN" w:bidi="ar-SA"/>
                        </w:rPr>
                      </m:ctrlPr>
                    </m:e>
                  </m:eqArr>
                  <m:ctrlPr>
                    <w:rPr>
                      <w:rFonts w:hint="eastAsia" w:ascii="DejaVu Math TeX Gyre" w:hAnsi="DejaVu Math TeX Gyre" w:cs="仿宋_GB2312"/>
                      <w:b w:val="0"/>
                      <w:i w:val="0"/>
                      <w:snapToGrid w:val="0"/>
                      <w:kern w:val="0"/>
                      <w:sz w:val="21"/>
                      <w:szCs w:val="21"/>
                      <w:lang w:val="en" w:eastAsia="zh-CN" w:bidi="ar-SA"/>
                    </w:rPr>
                  </m:ctrlPr>
                </m:e>
              </m:nary>
              <m:ctrlPr>
                <w:rPr>
                  <w:rFonts w:hint="eastAsia" w:ascii="DejaVu Math TeX Gyre" w:hAnsi="DejaVu Math TeX Gyre" w:cs="仿宋_GB2312"/>
                  <w:b w:val="0"/>
                  <w:snapToGrid w:val="0"/>
                  <w:kern w:val="0"/>
                  <w:sz w:val="21"/>
                  <w:szCs w:val="21"/>
                  <w:lang w:val="en" w:eastAsia="zh-CN" w:bidi="ar-SA"/>
                </w:rPr>
              </m:ctrlPr>
            </m:den>
          </m:f>
          <m:r>
            <m:rPr>
              <m:sty m:val="p"/>
            </m:rPr>
            <w:rPr>
              <w:rFonts w:hint="eastAsia" w:ascii="DejaVu Math TeX Gyre" w:hAnsi="DejaVu Math TeX Gyre" w:cs="仿宋_GB2312"/>
              <w:snapToGrid w:val="0"/>
              <w:kern w:val="0"/>
              <w:sz w:val="21"/>
              <w:szCs w:val="21"/>
              <w:lang w:val="en" w:bidi="ar-SA"/>
            </w:rPr>
            <m:t>×</m:t>
          </m:r>
          <m:nary>
            <m:naryPr>
              <m:chr m:val="∑"/>
              <m:limLoc m:val="undOvr"/>
              <m:subHide m:val="true"/>
              <m:supHide m:val="true"/>
              <m:ctrlPr>
                <w:rPr>
                  <w:rFonts w:hint="eastAsia" w:ascii="DejaVu Math TeX Gyre" w:hAnsi="DejaVu Math TeX Gyre" w:cs="仿宋_GB2312"/>
                  <w:snapToGrid w:val="0"/>
                  <w:kern w:val="0"/>
                  <w:sz w:val="21"/>
                  <w:szCs w:val="21"/>
                  <w:lang w:val="en" w:bidi="ar-SA"/>
                </w:rPr>
              </m:ctrlPr>
            </m:naryPr>
            <m:sub>
              <m:ctrlPr>
                <w:rPr>
                  <w:rFonts w:hint="eastAsia" w:ascii="DejaVu Math TeX Gyre" w:hAnsi="DejaVu Math TeX Gyre" w:cs="仿宋_GB2312"/>
                  <w:snapToGrid w:val="0"/>
                  <w:kern w:val="0"/>
                  <w:sz w:val="21"/>
                  <w:szCs w:val="21"/>
                  <w:lang w:val="en" w:bidi="ar-SA"/>
                </w:rPr>
              </m:ctrlPr>
            </m:sub>
            <m:sup>
              <m:ctrlPr>
                <w:rPr>
                  <w:rFonts w:hint="eastAsia" w:ascii="DejaVu Math TeX Gyre" w:hAnsi="DejaVu Math TeX Gyre" w:cs="仿宋_GB2312"/>
                  <w:snapToGrid w:val="0"/>
                  <w:kern w:val="0"/>
                  <w:sz w:val="21"/>
                  <w:szCs w:val="21"/>
                  <w:lang w:val="en" w:bidi="ar-SA"/>
                </w:rPr>
              </m:ctrlPr>
            </m:sup>
            <m:e>
              <m:eqArr>
                <m:eqArrPr>
                  <m:ctrlPr>
                    <w:rPr>
                      <w:rFonts w:hint="eastAsia" w:ascii="DejaVu Math TeX Gyre" w:hAnsi="DejaVu Math TeX Gyre" w:cs="仿宋_GB2312"/>
                      <w:snapToGrid w:val="0"/>
                      <w:kern w:val="0"/>
                      <w:sz w:val="21"/>
                      <w:szCs w:val="21"/>
                      <w:lang w:val="en" w:eastAsia="zh-CN" w:bidi="ar-SA"/>
                    </w:rPr>
                  </m:ctrlPr>
                </m:eqArrPr>
                <m:e>
                  <m:r>
                    <m:rPr>
                      <m:sty m:val="p"/>
                    </m:rPr>
                    <w:rPr>
                      <w:rFonts w:hint="eastAsia" w:ascii="DejaVu Math TeX Gyre" w:hAnsi="DejaVu Math TeX Gyre" w:cs="仿宋_GB2312"/>
                      <w:snapToGrid w:val="0"/>
                      <w:kern w:val="0"/>
                      <w:sz w:val="21"/>
                      <w:szCs w:val="21"/>
                      <w:lang w:val="en" w:eastAsia="zh-CN" w:bidi="ar-SA"/>
                    </w:rPr>
                    <m:t>参与调整的承销团成员</m:t>
                  </m:r>
                  <m:ctrlPr>
                    <w:rPr>
                      <w:rFonts w:hint="eastAsia" w:ascii="DejaVu Math TeX Gyre" w:hAnsi="DejaVu Math TeX Gyre" w:cs="仿宋_GB2312"/>
                      <w:snapToGrid w:val="0"/>
                      <w:kern w:val="0"/>
                      <w:sz w:val="21"/>
                      <w:szCs w:val="21"/>
                      <w:lang w:val="en" w:eastAsia="zh-CN" w:bidi="ar-SA"/>
                    </w:rPr>
                  </m:ctrlPr>
                </m:e>
                <m:e>
                  <m:r>
                    <m:rPr>
                      <m:sty m:val="p"/>
                    </m:rPr>
                    <w:rPr>
                      <w:rFonts w:hint="eastAsia" w:ascii="DejaVu Math TeX Gyre" w:hAnsi="DejaVu Math TeX Gyre" w:cs="仿宋_GB2312"/>
                      <w:snapToGrid w:val="0"/>
                      <w:kern w:val="0"/>
                      <w:sz w:val="21"/>
                      <w:szCs w:val="21"/>
                      <w:lang w:val="en" w:eastAsia="zh-CN" w:bidi="ar-SA"/>
                    </w:rPr>
                    <m:t>原基本代销额度比例</m:t>
                  </m:r>
                  <m:ctrlPr>
                    <w:rPr>
                      <w:rFonts w:hint="eastAsia" w:ascii="DejaVu Math TeX Gyre" w:hAnsi="DejaVu Math TeX Gyre" w:cs="仿宋_GB2312"/>
                      <w:snapToGrid w:val="0"/>
                      <w:kern w:val="0"/>
                      <w:sz w:val="21"/>
                      <w:szCs w:val="21"/>
                      <w:lang w:val="en" w:bidi="ar-SA"/>
                    </w:rPr>
                  </m:ctrlPr>
                </m:e>
              </m:eqArr>
              <m:r>
                <m:rPr>
                  <m:sty m:val="p"/>
                </m:rPr>
                <w:rPr>
                  <w:rFonts w:hint="eastAsia" w:ascii="DejaVu Math TeX Gyre" w:hAnsi="DejaVu Math TeX Gyre" w:cs="仿宋_GB2312"/>
                  <w:snapToGrid w:val="0"/>
                  <w:kern w:val="0"/>
                  <w:sz w:val="21"/>
                  <w:szCs w:val="21"/>
                  <w:lang w:val="en" w:bidi="ar-SA"/>
                </w:rPr>
                <m:t>×</m:t>
              </m:r>
              <m:r>
                <m:rPr>
                  <m:sty m:val="p"/>
                </m:rPr>
                <w:rPr>
                  <w:rFonts w:hint="eastAsia" w:ascii="DejaVu Math TeX Gyre" w:hAnsi="DejaVu Math TeX Gyre" w:cs="仿宋_GB2312"/>
                  <w:snapToGrid w:val="0"/>
                  <w:kern w:val="0"/>
                  <w:sz w:val="21"/>
                  <w:szCs w:val="21"/>
                  <w:lang w:val="en-US" w:eastAsia="zh-CN" w:bidi="ar-SA"/>
                </w:rPr>
                <m:t>100%</m:t>
              </m:r>
              <m:ctrlPr>
                <w:rPr>
                  <w:rFonts w:hint="eastAsia" w:ascii="DejaVu Math TeX Gyre" w:hAnsi="DejaVu Math TeX Gyre" w:cs="仿宋_GB2312"/>
                  <w:snapToGrid w:val="0"/>
                  <w:kern w:val="0"/>
                  <w:sz w:val="21"/>
                  <w:szCs w:val="21"/>
                  <w:lang w:val="en" w:eastAsia="zh-CN" w:bidi="ar-SA"/>
                </w:rPr>
              </m:ctrlPr>
            </m:e>
          </m:nary>
        </m:oMath>
      </m:oMathPara>
    </w:p>
    <w:p>
      <w:pPr>
        <w:adjustRightInd w:val="0"/>
        <w:snapToGrid w:val="0"/>
        <w:spacing w:line="360" w:lineRule="auto"/>
        <w:ind w:firstLine="640" w:firstLineChars="200"/>
        <w:jc w:val="left"/>
        <w:rPr>
          <w:rFonts w:hint="eastAsia" w:ascii="仿宋_GB2312"/>
          <w:snapToGrid w:val="0"/>
          <w:kern w:val="0"/>
          <w:sz w:val="32"/>
          <w:szCs w:val="32"/>
        </w:rPr>
      </w:pPr>
      <w:r>
        <w:rPr>
          <w:rFonts w:hint="eastAsia" w:ascii="仿宋_GB2312"/>
          <w:snapToGrid w:val="0"/>
          <w:kern w:val="0"/>
          <w:sz w:val="32"/>
          <w:szCs w:val="32"/>
          <w:lang w:eastAsia="zh-CN"/>
        </w:rPr>
        <w:t>承销团</w:t>
      </w:r>
      <w:r>
        <w:rPr>
          <w:rFonts w:hint="eastAsia" w:ascii="仿宋_GB2312"/>
          <w:snapToGrid w:val="0"/>
          <w:kern w:val="0"/>
          <w:sz w:val="32"/>
          <w:szCs w:val="32"/>
        </w:rPr>
        <w:t>成员上一季度各期储蓄国债（电子式）</w:t>
      </w:r>
      <w:r>
        <w:rPr>
          <w:rFonts w:hint="eastAsia" w:ascii="仿宋_GB2312"/>
          <w:snapToGrid w:val="0"/>
          <w:kern w:val="0"/>
          <w:sz w:val="32"/>
          <w:szCs w:val="32"/>
          <w:lang w:eastAsia="zh-CN"/>
        </w:rPr>
        <w:t>销售</w:t>
      </w:r>
      <w:r>
        <w:rPr>
          <w:rFonts w:hint="eastAsia" w:ascii="仿宋_GB2312"/>
          <w:snapToGrid w:val="0"/>
          <w:kern w:val="0"/>
          <w:sz w:val="32"/>
          <w:szCs w:val="32"/>
        </w:rPr>
        <w:t>量不包含超额度违规销售的部分。</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ascii="仿宋_GB2312"/>
          <w:snapToGrid w:val="0"/>
          <w:kern w:val="0"/>
          <w:sz w:val="32"/>
          <w:szCs w:val="32"/>
        </w:rPr>
      </w:pPr>
      <w:r>
        <w:rPr>
          <w:rFonts w:hint="eastAsia" w:ascii="仿宋_GB2312"/>
          <w:snapToGrid w:val="0"/>
          <w:kern w:val="0"/>
          <w:sz w:val="32"/>
          <w:szCs w:val="32"/>
        </w:rPr>
        <w:t>（</w:t>
      </w:r>
      <w:r>
        <w:rPr>
          <w:rFonts w:hint="eastAsia" w:ascii="仿宋_GB2312"/>
          <w:snapToGrid w:val="0"/>
          <w:kern w:val="0"/>
          <w:sz w:val="32"/>
          <w:szCs w:val="32"/>
          <w:lang w:eastAsia="zh-CN"/>
        </w:rPr>
        <w:t>三</w:t>
      </w:r>
      <w:r>
        <w:rPr>
          <w:rFonts w:hint="eastAsia" w:ascii="仿宋_GB2312"/>
          <w:snapToGrid w:val="0"/>
          <w:kern w:val="0"/>
          <w:sz w:val="32"/>
          <w:szCs w:val="32"/>
        </w:rPr>
        <w:t>）尾差</w:t>
      </w:r>
      <w:r>
        <w:rPr>
          <w:rFonts w:hint="eastAsia" w:ascii="仿宋_GB2312"/>
          <w:snapToGrid w:val="0"/>
          <w:kern w:val="0"/>
          <w:sz w:val="32"/>
          <w:szCs w:val="32"/>
          <w:lang w:eastAsia="zh-CN"/>
        </w:rPr>
        <w:t>处理</w:t>
      </w:r>
      <w:r>
        <w:rPr>
          <w:rFonts w:hint="eastAsia" w:ascii="仿宋_GB2312"/>
          <w:snapToGrid w:val="0"/>
          <w:kern w:val="0"/>
          <w:sz w:val="32"/>
          <w:szCs w:val="32"/>
        </w:rPr>
        <w:t>。</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eastAsia="仿宋_GB2312"/>
          <w:snapToGrid w:val="0"/>
          <w:kern w:val="0"/>
          <w:sz w:val="32"/>
          <w:szCs w:val="32"/>
          <w:lang w:eastAsia="zh-CN"/>
        </w:rPr>
      </w:pPr>
      <w:r>
        <w:rPr>
          <w:rFonts w:hint="eastAsia" w:ascii="仿宋_GB2312"/>
          <w:snapToGrid w:val="0"/>
          <w:kern w:val="0"/>
          <w:sz w:val="32"/>
          <w:szCs w:val="32"/>
          <w:lang w:eastAsia="zh-CN"/>
        </w:rPr>
        <w:t>上述</w:t>
      </w:r>
      <w:r>
        <w:rPr>
          <w:rFonts w:hint="eastAsia" w:ascii="仿宋_GB2312"/>
          <w:snapToGrid w:val="0"/>
          <w:kern w:val="0"/>
          <w:sz w:val="32"/>
          <w:szCs w:val="32"/>
        </w:rPr>
        <w:t>计算结果</w:t>
      </w:r>
      <w:r>
        <w:rPr>
          <w:rFonts w:hint="eastAsia" w:ascii="仿宋_GB2312"/>
          <w:snapToGrid w:val="0"/>
          <w:kern w:val="0"/>
          <w:sz w:val="32"/>
          <w:szCs w:val="32"/>
          <w:lang w:eastAsia="zh-CN"/>
        </w:rPr>
        <w:t>以</w:t>
      </w:r>
      <w:r>
        <w:rPr>
          <w:rFonts w:hint="eastAsia" w:ascii="仿宋_GB2312"/>
          <w:snapToGrid w:val="0"/>
          <w:kern w:val="0"/>
          <w:sz w:val="32"/>
          <w:szCs w:val="32"/>
        </w:rPr>
        <w:t>百分数为单位四舍五入保留</w:t>
      </w:r>
      <w:r>
        <w:rPr>
          <w:rFonts w:hint="eastAsia" w:ascii="仿宋_GB2312"/>
          <w:snapToGrid w:val="0"/>
          <w:kern w:val="0"/>
          <w:sz w:val="32"/>
          <w:szCs w:val="32"/>
          <w:lang w:val="en-US" w:eastAsia="zh-CN"/>
        </w:rPr>
        <w:t>2</w:t>
      </w:r>
      <w:r>
        <w:rPr>
          <w:rFonts w:hint="eastAsia" w:ascii="仿宋_GB2312"/>
          <w:snapToGrid w:val="0"/>
          <w:kern w:val="0"/>
          <w:sz w:val="32"/>
          <w:szCs w:val="32"/>
        </w:rPr>
        <w:t>位小数，不足0.</w:t>
      </w:r>
      <w:r>
        <w:rPr>
          <w:rFonts w:hint="eastAsia" w:ascii="仿宋_GB2312"/>
          <w:snapToGrid w:val="0"/>
          <w:kern w:val="0"/>
          <w:sz w:val="32"/>
          <w:szCs w:val="32"/>
          <w:lang w:val="en-US" w:eastAsia="zh-CN"/>
        </w:rPr>
        <w:t>01</w:t>
      </w:r>
      <w:r>
        <w:rPr>
          <w:rFonts w:hint="eastAsia" w:ascii="仿宋_GB2312"/>
          <w:snapToGrid w:val="0"/>
          <w:kern w:val="0"/>
          <w:sz w:val="32"/>
          <w:szCs w:val="32"/>
        </w:rPr>
        <w:t>%</w:t>
      </w:r>
      <w:r>
        <w:rPr>
          <w:rFonts w:hint="eastAsia" w:ascii="仿宋_GB2312"/>
          <w:snapToGrid w:val="0"/>
          <w:kern w:val="0"/>
          <w:sz w:val="32"/>
          <w:szCs w:val="32"/>
          <w:lang w:eastAsia="zh-CN"/>
        </w:rPr>
        <w:t>的</w:t>
      </w:r>
      <w:r>
        <w:rPr>
          <w:rFonts w:hint="eastAsia" w:ascii="仿宋_GB2312"/>
          <w:snapToGrid w:val="0"/>
          <w:kern w:val="0"/>
          <w:sz w:val="32"/>
          <w:szCs w:val="32"/>
        </w:rPr>
        <w:t>，按照0.</w:t>
      </w:r>
      <w:r>
        <w:rPr>
          <w:rFonts w:hint="eastAsia" w:ascii="仿宋_GB2312"/>
          <w:snapToGrid w:val="0"/>
          <w:kern w:val="0"/>
          <w:sz w:val="32"/>
          <w:szCs w:val="32"/>
          <w:lang w:val="en-US" w:eastAsia="zh-CN"/>
        </w:rPr>
        <w:t>01</w:t>
      </w:r>
      <w:r>
        <w:rPr>
          <w:rFonts w:hint="eastAsia" w:ascii="仿宋_GB2312"/>
          <w:snapToGrid w:val="0"/>
          <w:kern w:val="0"/>
          <w:sz w:val="32"/>
          <w:szCs w:val="32"/>
        </w:rPr>
        <w:t>%计算。</w:t>
      </w:r>
      <w:r>
        <w:rPr>
          <w:rFonts w:hint="eastAsia" w:ascii="仿宋_GB2312"/>
          <w:snapToGrid w:val="0"/>
          <w:kern w:val="0"/>
          <w:sz w:val="32"/>
          <w:szCs w:val="32"/>
          <w:lang w:eastAsia="zh-CN"/>
        </w:rPr>
        <w:t>经上述计算后，如</w:t>
      </w:r>
      <w:r>
        <w:rPr>
          <w:rFonts w:hint="eastAsia" w:ascii="仿宋_GB2312"/>
          <w:snapToGrid w:val="0"/>
          <w:kern w:val="0"/>
          <w:sz w:val="32"/>
          <w:szCs w:val="32"/>
        </w:rPr>
        <w:t>承销团成员基本代销额度比例合计</w:t>
      </w:r>
      <w:r>
        <w:rPr>
          <w:rFonts w:hint="eastAsia" w:ascii="仿宋_GB2312"/>
          <w:snapToGrid w:val="0"/>
          <w:kern w:val="0"/>
          <w:sz w:val="32"/>
          <w:szCs w:val="32"/>
          <w:lang w:eastAsia="zh-CN"/>
        </w:rPr>
        <w:t>不等于</w:t>
      </w:r>
      <w:r>
        <w:rPr>
          <w:rFonts w:hint="eastAsia" w:ascii="仿宋_GB2312"/>
          <w:snapToGrid w:val="0"/>
          <w:kern w:val="0"/>
          <w:sz w:val="32"/>
          <w:szCs w:val="32"/>
        </w:rPr>
        <w:t>100%</w:t>
      </w:r>
      <w:r>
        <w:rPr>
          <w:rFonts w:hint="eastAsia" w:ascii="仿宋_GB2312"/>
          <w:snapToGrid w:val="0"/>
          <w:kern w:val="0"/>
          <w:sz w:val="32"/>
          <w:szCs w:val="32"/>
          <w:lang w:eastAsia="zh-CN"/>
        </w:rPr>
        <w:t>，则按以下原则进行尾差处理：</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ascii="仿宋_GB2312"/>
          <w:snapToGrid w:val="0"/>
          <w:kern w:val="0"/>
          <w:sz w:val="32"/>
          <w:szCs w:val="32"/>
        </w:rPr>
      </w:pPr>
      <w:r>
        <w:rPr>
          <w:rFonts w:hint="eastAsia" w:ascii="仿宋_GB2312"/>
          <w:snapToGrid w:val="0"/>
          <w:kern w:val="0"/>
          <w:sz w:val="32"/>
          <w:szCs w:val="32"/>
          <w:lang w:eastAsia="zh-CN"/>
        </w:rPr>
        <w:t>如计算结果</w:t>
      </w:r>
      <w:r>
        <w:rPr>
          <w:rFonts w:hint="eastAsia" w:ascii="仿宋_GB2312"/>
          <w:snapToGrid w:val="0"/>
          <w:kern w:val="0"/>
          <w:sz w:val="32"/>
          <w:szCs w:val="32"/>
        </w:rPr>
        <w:t>合计大于100%，从基本代销额度比例调增幅度最大的机构开始，从高至低依次调减0.</w:t>
      </w:r>
      <w:r>
        <w:rPr>
          <w:rFonts w:hint="eastAsia" w:ascii="仿宋_GB2312"/>
          <w:snapToGrid w:val="0"/>
          <w:kern w:val="0"/>
          <w:sz w:val="32"/>
          <w:szCs w:val="32"/>
          <w:lang w:val="en-US" w:eastAsia="zh-CN"/>
        </w:rPr>
        <w:t>0</w:t>
      </w:r>
      <w:r>
        <w:rPr>
          <w:rFonts w:hint="eastAsia" w:ascii="仿宋_GB2312"/>
          <w:snapToGrid w:val="0"/>
          <w:kern w:val="0"/>
          <w:sz w:val="32"/>
          <w:szCs w:val="32"/>
        </w:rPr>
        <w:t>1个百分点，直至承销团成员基本代销额度比例合计为100%止。如</w:t>
      </w:r>
      <w:r>
        <w:rPr>
          <w:rFonts w:hint="eastAsia" w:ascii="仿宋_GB2312"/>
          <w:snapToGrid w:val="0"/>
          <w:kern w:val="0"/>
          <w:sz w:val="32"/>
          <w:szCs w:val="32"/>
          <w:lang w:eastAsia="zh-CN"/>
        </w:rPr>
        <w:t>有两家及以上承销团成员</w:t>
      </w:r>
      <w:r>
        <w:rPr>
          <w:rFonts w:hint="eastAsia" w:ascii="仿宋_GB2312"/>
          <w:snapToGrid w:val="0"/>
          <w:kern w:val="0"/>
          <w:sz w:val="32"/>
          <w:szCs w:val="32"/>
        </w:rPr>
        <w:t>调增幅度相同，</w:t>
      </w:r>
      <w:r>
        <w:rPr>
          <w:rFonts w:hint="eastAsia" w:ascii="仿宋_GB2312"/>
          <w:snapToGrid w:val="0"/>
          <w:kern w:val="0"/>
          <w:sz w:val="32"/>
          <w:szCs w:val="32"/>
          <w:lang w:eastAsia="zh-CN"/>
        </w:rPr>
        <w:t>且均非新成员，</w:t>
      </w:r>
      <w:r>
        <w:rPr>
          <w:rFonts w:hint="eastAsia" w:ascii="仿宋_GB2312"/>
          <w:snapToGrid w:val="0"/>
          <w:kern w:val="0"/>
          <w:sz w:val="32"/>
          <w:szCs w:val="32"/>
        </w:rPr>
        <w:t>上一年度综合排名居</w:t>
      </w:r>
      <w:r>
        <w:rPr>
          <w:rFonts w:hint="eastAsia" w:ascii="仿宋_GB2312"/>
          <w:snapToGrid w:val="0"/>
          <w:kern w:val="0"/>
          <w:sz w:val="32"/>
          <w:szCs w:val="32"/>
          <w:lang w:eastAsia="zh-CN"/>
        </w:rPr>
        <w:t>后</w:t>
      </w:r>
      <w:r>
        <w:rPr>
          <w:rFonts w:hint="eastAsia" w:ascii="仿宋_GB2312"/>
          <w:snapToGrid w:val="0"/>
          <w:kern w:val="0"/>
          <w:sz w:val="32"/>
          <w:szCs w:val="32"/>
        </w:rPr>
        <w:t>的承销团成员先调</w:t>
      </w:r>
      <w:r>
        <w:rPr>
          <w:rFonts w:hint="eastAsia" w:ascii="仿宋_GB2312"/>
          <w:snapToGrid w:val="0"/>
          <w:kern w:val="0"/>
          <w:sz w:val="32"/>
          <w:szCs w:val="32"/>
          <w:lang w:eastAsia="zh-CN"/>
        </w:rPr>
        <w:t>减；如调增幅度相同的承销团成员中有</w:t>
      </w:r>
      <w:r>
        <w:rPr>
          <w:rFonts w:hint="eastAsia" w:ascii="仿宋_GB2312"/>
          <w:snapToGrid w:val="0"/>
          <w:kern w:val="0"/>
          <w:sz w:val="32"/>
          <w:szCs w:val="32"/>
        </w:rPr>
        <w:t>新成员，</w:t>
      </w:r>
      <w:r>
        <w:rPr>
          <w:rFonts w:hint="eastAsia" w:ascii="仿宋_GB2312"/>
          <w:snapToGrid w:val="0"/>
          <w:kern w:val="0"/>
          <w:sz w:val="32"/>
          <w:szCs w:val="32"/>
          <w:lang w:eastAsia="zh-CN"/>
        </w:rPr>
        <w:t>则调增幅度相同的承销团成员中，当年</w:t>
      </w:r>
      <w:r>
        <w:rPr>
          <w:rFonts w:hint="eastAsia" w:ascii="仿宋_GB2312"/>
          <w:snapToGrid w:val="0"/>
          <w:kern w:val="0"/>
          <w:sz w:val="32"/>
          <w:szCs w:val="32"/>
        </w:rPr>
        <w:t>储蓄国债（电子式）累计销量居</w:t>
      </w:r>
      <w:r>
        <w:rPr>
          <w:rFonts w:hint="eastAsia" w:ascii="仿宋_GB2312"/>
          <w:snapToGrid w:val="0"/>
          <w:kern w:val="0"/>
          <w:sz w:val="32"/>
          <w:szCs w:val="32"/>
          <w:lang w:eastAsia="zh-CN"/>
        </w:rPr>
        <w:t>后</w:t>
      </w:r>
      <w:r>
        <w:rPr>
          <w:rFonts w:hint="eastAsia" w:ascii="仿宋_GB2312"/>
          <w:snapToGrid w:val="0"/>
          <w:kern w:val="0"/>
          <w:sz w:val="32"/>
          <w:szCs w:val="32"/>
        </w:rPr>
        <w:t>的先调</w:t>
      </w:r>
      <w:r>
        <w:rPr>
          <w:rFonts w:hint="eastAsia" w:ascii="仿宋_GB2312"/>
          <w:snapToGrid w:val="0"/>
          <w:kern w:val="0"/>
          <w:sz w:val="32"/>
          <w:szCs w:val="32"/>
          <w:lang w:eastAsia="zh-CN"/>
        </w:rPr>
        <w:t>减</w:t>
      </w:r>
      <w:r>
        <w:rPr>
          <w:rFonts w:hint="eastAsia" w:ascii="仿宋_GB2312"/>
          <w:snapToGrid w:val="0"/>
          <w:kern w:val="0"/>
          <w:sz w:val="32"/>
          <w:szCs w:val="32"/>
        </w:rPr>
        <w:t>。</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ascii="仿宋_GB2312"/>
          <w:snapToGrid w:val="0"/>
          <w:kern w:val="0"/>
          <w:sz w:val="32"/>
          <w:szCs w:val="32"/>
        </w:rPr>
      </w:pPr>
      <w:r>
        <w:rPr>
          <w:rFonts w:hint="eastAsia" w:ascii="仿宋_GB2312"/>
          <w:snapToGrid w:val="0"/>
          <w:kern w:val="0"/>
          <w:sz w:val="32"/>
          <w:szCs w:val="32"/>
          <w:lang w:eastAsia="zh-CN"/>
        </w:rPr>
        <w:t>如计算结果</w:t>
      </w:r>
      <w:r>
        <w:rPr>
          <w:rFonts w:hint="eastAsia" w:ascii="仿宋_GB2312"/>
          <w:snapToGrid w:val="0"/>
          <w:kern w:val="0"/>
          <w:sz w:val="32"/>
          <w:szCs w:val="32"/>
        </w:rPr>
        <w:t>合计小于100%，从基本代销额度比例调增幅度最大的机构开始，从高至低依次调增0.</w:t>
      </w:r>
      <w:r>
        <w:rPr>
          <w:rFonts w:hint="eastAsia" w:ascii="仿宋_GB2312"/>
          <w:snapToGrid w:val="0"/>
          <w:kern w:val="0"/>
          <w:sz w:val="32"/>
          <w:szCs w:val="32"/>
          <w:lang w:val="en-US" w:eastAsia="zh-CN"/>
        </w:rPr>
        <w:t>0</w:t>
      </w:r>
      <w:r>
        <w:rPr>
          <w:rFonts w:hint="eastAsia" w:ascii="仿宋_GB2312"/>
          <w:snapToGrid w:val="0"/>
          <w:kern w:val="0"/>
          <w:sz w:val="32"/>
          <w:szCs w:val="32"/>
        </w:rPr>
        <w:t>1个百分点，直至承销团成员基本代销额度比例合计为100%止。如</w:t>
      </w:r>
      <w:r>
        <w:rPr>
          <w:rFonts w:hint="eastAsia" w:ascii="仿宋_GB2312"/>
          <w:snapToGrid w:val="0"/>
          <w:kern w:val="0"/>
          <w:sz w:val="32"/>
          <w:szCs w:val="32"/>
          <w:lang w:eastAsia="zh-CN"/>
        </w:rPr>
        <w:t>有两家及以上承销团成员</w:t>
      </w:r>
      <w:r>
        <w:rPr>
          <w:rFonts w:hint="eastAsia" w:ascii="仿宋_GB2312"/>
          <w:snapToGrid w:val="0"/>
          <w:kern w:val="0"/>
          <w:sz w:val="32"/>
          <w:szCs w:val="32"/>
        </w:rPr>
        <w:t>调增幅度相同，</w:t>
      </w:r>
      <w:r>
        <w:rPr>
          <w:rFonts w:hint="eastAsia" w:ascii="仿宋_GB2312"/>
          <w:snapToGrid w:val="0"/>
          <w:kern w:val="0"/>
          <w:sz w:val="32"/>
          <w:szCs w:val="32"/>
          <w:lang w:eastAsia="zh-CN"/>
        </w:rPr>
        <w:t>且均非新成员，</w:t>
      </w:r>
      <w:r>
        <w:rPr>
          <w:rFonts w:hint="eastAsia" w:ascii="仿宋_GB2312"/>
          <w:snapToGrid w:val="0"/>
          <w:kern w:val="0"/>
          <w:sz w:val="32"/>
          <w:szCs w:val="32"/>
        </w:rPr>
        <w:t>上一年度综合排名居前的承销团成员先调增</w:t>
      </w:r>
      <w:r>
        <w:rPr>
          <w:rFonts w:hint="eastAsia" w:ascii="仿宋_GB2312"/>
          <w:snapToGrid w:val="0"/>
          <w:kern w:val="0"/>
          <w:sz w:val="32"/>
          <w:szCs w:val="32"/>
          <w:lang w:eastAsia="zh-CN"/>
        </w:rPr>
        <w:t>；如调增幅度相同的承销团成员中有</w:t>
      </w:r>
      <w:r>
        <w:rPr>
          <w:rFonts w:hint="eastAsia" w:ascii="仿宋_GB2312"/>
          <w:snapToGrid w:val="0"/>
          <w:kern w:val="0"/>
          <w:sz w:val="32"/>
          <w:szCs w:val="32"/>
        </w:rPr>
        <w:t>新成员，</w:t>
      </w:r>
      <w:r>
        <w:rPr>
          <w:rFonts w:hint="eastAsia" w:ascii="仿宋_GB2312"/>
          <w:snapToGrid w:val="0"/>
          <w:kern w:val="0"/>
          <w:sz w:val="32"/>
          <w:szCs w:val="32"/>
          <w:lang w:eastAsia="zh-CN"/>
        </w:rPr>
        <w:t>则调增幅度相同的承销团成员中，当年</w:t>
      </w:r>
      <w:r>
        <w:rPr>
          <w:rFonts w:hint="eastAsia" w:ascii="仿宋_GB2312"/>
          <w:snapToGrid w:val="0"/>
          <w:kern w:val="0"/>
          <w:sz w:val="32"/>
          <w:szCs w:val="32"/>
        </w:rPr>
        <w:t>储蓄国债（电子式）累计销量居前的先调增。</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eastAsia="仿宋_GB2312"/>
          <w:sz w:val="32"/>
          <w:szCs w:val="32"/>
          <w:lang w:val="en-US" w:eastAsia="zh-CN"/>
        </w:rPr>
      </w:pPr>
      <w:r>
        <w:rPr>
          <w:rFonts w:hint="eastAsia" w:ascii="仿宋_GB2312"/>
          <w:snapToGrid w:val="0"/>
          <w:kern w:val="0"/>
          <w:sz w:val="32"/>
          <w:szCs w:val="32"/>
        </w:rPr>
        <w:t>新成员首季度基本代销额度比例不参与尾差</w:t>
      </w:r>
      <w:r>
        <w:rPr>
          <w:rFonts w:hint="eastAsia" w:ascii="仿宋_GB2312"/>
          <w:snapToGrid w:val="0"/>
          <w:kern w:val="0"/>
          <w:sz w:val="32"/>
          <w:szCs w:val="32"/>
          <w:lang w:eastAsia="zh-CN"/>
        </w:rPr>
        <w:t>处理。</w:t>
      </w:r>
    </w:p>
    <w:p>
      <w:pPr>
        <w:keepNext w:val="0"/>
        <w:keepLines w:val="0"/>
        <w:pageBreakBefore w:val="0"/>
        <w:kinsoku/>
        <w:wordWrap/>
        <w:overflowPunct/>
        <w:topLinePunct/>
        <w:autoSpaceDE/>
        <w:autoSpaceDN/>
        <w:bidi w:val="0"/>
        <w:adjustRightInd w:val="0"/>
        <w:snapToGrid w:val="0"/>
        <w:spacing w:line="360" w:lineRule="auto"/>
        <w:ind w:firstLine="642" w:firstLineChars="200"/>
        <w:textAlignment w:val="auto"/>
        <w:rPr>
          <w:rFonts w:hint="eastAsia" w:ascii="仿宋_GB2312"/>
          <w:b/>
          <w:bCs/>
          <w:sz w:val="32"/>
          <w:szCs w:val="32"/>
          <w:lang w:val="en-US" w:eastAsia="zh-CN"/>
        </w:rPr>
      </w:pPr>
      <w:r>
        <w:rPr>
          <w:rFonts w:hint="eastAsia" w:ascii="仿宋_GB2312"/>
          <w:b/>
          <w:bCs/>
          <w:sz w:val="32"/>
          <w:szCs w:val="32"/>
          <w:lang w:eastAsia="zh-CN"/>
        </w:rPr>
        <w:t>第六条</w:t>
      </w:r>
      <w:r>
        <w:rPr>
          <w:rFonts w:hint="eastAsia" w:ascii="仿宋_GB2312"/>
          <w:b/>
          <w:bCs/>
          <w:sz w:val="32"/>
          <w:szCs w:val="32"/>
          <w:lang w:val="en-US" w:eastAsia="zh-CN"/>
        </w:rPr>
        <w:t xml:space="preserve"> </w:t>
      </w:r>
      <w:r>
        <w:rPr>
          <w:rFonts w:hint="eastAsia" w:ascii="仿宋_GB2312"/>
          <w:sz w:val="32"/>
          <w:szCs w:val="32"/>
        </w:rPr>
        <w:t>发行期每日8</w:t>
      </w:r>
      <w:r>
        <w:rPr>
          <w:rFonts w:hint="eastAsia" w:ascii="仿宋_GB2312"/>
          <w:sz w:val="32"/>
          <w:szCs w:val="32"/>
          <w:lang w:val="en-US" w:eastAsia="zh-CN"/>
        </w:rPr>
        <w:t>:</w:t>
      </w:r>
      <w:r>
        <w:rPr>
          <w:rFonts w:hint="eastAsia" w:ascii="仿宋_GB2312"/>
          <w:sz w:val="32"/>
          <w:szCs w:val="32"/>
        </w:rPr>
        <w:t>30-16</w:t>
      </w:r>
      <w:r>
        <w:rPr>
          <w:rFonts w:hint="eastAsia" w:ascii="仿宋_GB2312"/>
          <w:sz w:val="32"/>
          <w:szCs w:val="32"/>
          <w:lang w:val="en-US" w:eastAsia="zh-CN"/>
        </w:rPr>
        <w:t>:</w:t>
      </w:r>
      <w:r>
        <w:rPr>
          <w:rFonts w:hint="eastAsia" w:ascii="仿宋_GB2312"/>
          <w:sz w:val="32"/>
          <w:szCs w:val="32"/>
        </w:rPr>
        <w:t>30，当承销团成员未售出发行额度低于</w:t>
      </w:r>
      <w:r>
        <w:rPr>
          <w:rFonts w:hint="eastAsia" w:ascii="仿宋_GB2312"/>
          <w:sz w:val="32"/>
          <w:szCs w:val="32"/>
          <w:lang w:eastAsia="zh-CN"/>
        </w:rPr>
        <w:t>本单位初始</w:t>
      </w:r>
      <w:r>
        <w:rPr>
          <w:rFonts w:hint="eastAsia" w:ascii="仿宋_GB2312"/>
          <w:sz w:val="32"/>
          <w:szCs w:val="32"/>
        </w:rPr>
        <w:t>基本代销额度的</w:t>
      </w:r>
      <w:r>
        <w:rPr>
          <w:rFonts w:hint="eastAsia" w:ascii="仿宋_GB2312"/>
          <w:sz w:val="32"/>
          <w:szCs w:val="32"/>
          <w:lang w:val="en-US" w:eastAsia="zh-CN"/>
        </w:rPr>
        <w:t>10</w:t>
      </w:r>
      <w:r>
        <w:rPr>
          <w:rFonts w:hint="eastAsia" w:ascii="仿宋_GB2312"/>
          <w:sz w:val="32"/>
          <w:szCs w:val="32"/>
        </w:rPr>
        <w:t>%时，承销团成员</w:t>
      </w:r>
      <w:r>
        <w:rPr>
          <w:rFonts w:ascii="仿宋_GB2312"/>
          <w:sz w:val="32"/>
          <w:szCs w:val="32"/>
        </w:rPr>
        <w:t>可以</w:t>
      </w:r>
      <w:r>
        <w:rPr>
          <w:rFonts w:hint="eastAsia" w:ascii="仿宋_GB2312"/>
          <w:sz w:val="32"/>
          <w:szCs w:val="32"/>
        </w:rPr>
        <w:t>通过与</w:t>
      </w:r>
      <w:r>
        <w:rPr>
          <w:rFonts w:hint="eastAsia" w:ascii="仿宋_GB2312"/>
          <w:snapToGrid w:val="0"/>
          <w:kern w:val="0"/>
          <w:sz w:val="32"/>
          <w:szCs w:val="32"/>
        </w:rPr>
        <w:t>财政部储蓄国债（电子式）业务管理信息系统</w:t>
      </w:r>
      <w:r>
        <w:rPr>
          <w:rFonts w:hint="eastAsia" w:ascii="仿宋_GB2312"/>
          <w:sz w:val="32"/>
          <w:szCs w:val="32"/>
        </w:rPr>
        <w:t>（</w:t>
      </w:r>
      <w:r>
        <w:rPr>
          <w:rFonts w:ascii="仿宋_GB2312"/>
          <w:sz w:val="32"/>
          <w:szCs w:val="32"/>
        </w:rPr>
        <w:t>以下称财政部系统</w:t>
      </w:r>
      <w:r>
        <w:rPr>
          <w:rFonts w:hint="eastAsia" w:ascii="仿宋_GB2312"/>
          <w:sz w:val="32"/>
          <w:szCs w:val="32"/>
        </w:rPr>
        <w:t>）联网</w:t>
      </w:r>
      <w:r>
        <w:rPr>
          <w:rFonts w:hint="eastAsia" w:ascii="仿宋_GB2312"/>
          <w:sz w:val="32"/>
          <w:szCs w:val="32"/>
          <w:lang w:eastAsia="zh-CN"/>
        </w:rPr>
        <w:t>的</w:t>
      </w:r>
      <w:r>
        <w:rPr>
          <w:rFonts w:hint="eastAsia" w:ascii="仿宋_GB2312"/>
          <w:sz w:val="32"/>
          <w:szCs w:val="32"/>
        </w:rPr>
        <w:t>方式申请抓取机动代销额度。单笔申请上限为本单位当期国债</w:t>
      </w:r>
      <w:r>
        <w:rPr>
          <w:rFonts w:hint="eastAsia" w:ascii="仿宋_GB2312"/>
          <w:sz w:val="32"/>
          <w:szCs w:val="32"/>
          <w:lang w:eastAsia="zh-CN"/>
        </w:rPr>
        <w:t>初始</w:t>
      </w:r>
      <w:r>
        <w:rPr>
          <w:rFonts w:hint="eastAsia" w:ascii="仿宋_GB2312"/>
          <w:sz w:val="32"/>
          <w:szCs w:val="32"/>
        </w:rPr>
        <w:t>基本代销额度的10%，同一期国债两次申请时间间隔不少于1分钟。</w:t>
      </w:r>
      <w:r>
        <w:rPr>
          <w:rFonts w:hint="eastAsia" w:ascii="仿宋_GB2312"/>
          <w:sz w:val="32"/>
          <w:szCs w:val="32"/>
          <w:lang w:eastAsia="zh-CN"/>
        </w:rPr>
        <w:t>机动代销额度分配和尾数均按照</w:t>
      </w:r>
      <w:r>
        <w:rPr>
          <w:rFonts w:hint="eastAsia" w:ascii="仿宋_GB2312"/>
          <w:sz w:val="32"/>
          <w:szCs w:val="32"/>
        </w:rPr>
        <w:t>时间优先原则</w:t>
      </w:r>
      <w:r>
        <w:rPr>
          <w:rFonts w:hint="eastAsia" w:ascii="仿宋_GB2312"/>
          <w:sz w:val="32"/>
          <w:szCs w:val="32"/>
          <w:lang w:eastAsia="zh-CN"/>
        </w:rPr>
        <w:t>处理</w:t>
      </w:r>
      <w:r>
        <w:rPr>
          <w:rFonts w:hint="eastAsia" w:ascii="仿宋_GB2312"/>
          <w:sz w:val="32"/>
          <w:szCs w:val="32"/>
        </w:rPr>
        <w:t>。</w:t>
      </w:r>
    </w:p>
    <w:p>
      <w:pPr>
        <w:keepNext w:val="0"/>
        <w:keepLines w:val="0"/>
        <w:pageBreakBefore w:val="0"/>
        <w:kinsoku/>
        <w:wordWrap/>
        <w:overflowPunct/>
        <w:topLinePunct w:val="0"/>
        <w:autoSpaceDE/>
        <w:autoSpaceDN/>
        <w:bidi w:val="0"/>
        <w:adjustRightInd w:val="0"/>
        <w:snapToGrid w:val="0"/>
        <w:spacing w:line="360" w:lineRule="auto"/>
        <w:ind w:firstLine="642" w:firstLineChars="200"/>
        <w:textAlignment w:val="auto"/>
        <w:rPr>
          <w:rFonts w:hint="default" w:ascii="仿宋_GB2312"/>
          <w:b/>
          <w:bCs/>
          <w:sz w:val="32"/>
          <w:szCs w:val="32"/>
          <w:lang w:val="en-US" w:eastAsia="zh-CN"/>
        </w:rPr>
      </w:pPr>
      <w:r>
        <w:rPr>
          <w:rFonts w:hint="eastAsia" w:ascii="仿宋_GB2312"/>
          <w:b/>
          <w:bCs/>
          <w:sz w:val="32"/>
          <w:szCs w:val="32"/>
          <w:lang w:eastAsia="zh-CN"/>
        </w:rPr>
        <w:t>第七条</w:t>
      </w:r>
      <w:r>
        <w:rPr>
          <w:rFonts w:hint="eastAsia" w:ascii="仿宋_GB2312"/>
          <w:b/>
          <w:bCs/>
          <w:sz w:val="32"/>
          <w:szCs w:val="32"/>
          <w:lang w:val="en-US" w:eastAsia="zh-CN"/>
        </w:rPr>
        <w:t xml:space="preserve"> </w:t>
      </w:r>
      <w:r>
        <w:rPr>
          <w:rFonts w:hint="eastAsia" w:ascii="仿宋_GB2312"/>
          <w:sz w:val="32"/>
          <w:szCs w:val="32"/>
        </w:rPr>
        <w:t>发行期每日日终，承销团成员将当日储蓄国债（电子式）相关业务数据传送至</w:t>
      </w:r>
      <w:r>
        <w:rPr>
          <w:rFonts w:ascii="仿宋_GB2312"/>
          <w:sz w:val="32"/>
          <w:szCs w:val="32"/>
        </w:rPr>
        <w:t>财政部系统</w:t>
      </w:r>
      <w:r>
        <w:rPr>
          <w:rFonts w:hint="eastAsia" w:ascii="仿宋_GB2312"/>
          <w:sz w:val="32"/>
          <w:szCs w:val="32"/>
          <w:lang w:eastAsia="zh-CN"/>
        </w:rPr>
        <w:t>。承销团成员应当加强管理，确保本单位业务数据准确、无误，符合财政部系统总量数据核查和明细数据核查要求。</w:t>
      </w:r>
    </w:p>
    <w:p>
      <w:pPr>
        <w:keepNext w:val="0"/>
        <w:keepLines w:val="0"/>
        <w:pageBreakBefore w:val="0"/>
        <w:kinsoku/>
        <w:wordWrap/>
        <w:overflowPunct/>
        <w:topLinePunct w:val="0"/>
        <w:autoSpaceDE/>
        <w:autoSpaceDN/>
        <w:bidi w:val="0"/>
        <w:adjustRightInd w:val="0"/>
        <w:snapToGrid w:val="0"/>
        <w:spacing w:line="360" w:lineRule="auto"/>
        <w:ind w:firstLine="642" w:firstLineChars="200"/>
        <w:textAlignment w:val="auto"/>
        <w:rPr>
          <w:rFonts w:ascii="仿宋_GB2312"/>
          <w:sz w:val="32"/>
          <w:szCs w:val="32"/>
        </w:rPr>
      </w:pPr>
      <w:r>
        <w:rPr>
          <w:rFonts w:hint="eastAsia" w:ascii="仿宋_GB2312"/>
          <w:b/>
          <w:bCs/>
          <w:sz w:val="32"/>
          <w:szCs w:val="32"/>
          <w:lang w:eastAsia="zh-CN"/>
        </w:rPr>
        <w:t>第八条</w:t>
      </w:r>
      <w:r>
        <w:rPr>
          <w:rFonts w:hint="eastAsia" w:ascii="仿宋_GB2312"/>
          <w:b/>
          <w:bCs/>
          <w:sz w:val="32"/>
          <w:szCs w:val="32"/>
          <w:lang w:val="en-US" w:eastAsia="zh-CN"/>
        </w:rPr>
        <w:t xml:space="preserve"> </w:t>
      </w:r>
      <w:r>
        <w:rPr>
          <w:rFonts w:hint="eastAsia" w:ascii="仿宋_GB2312"/>
          <w:snapToGrid w:val="0"/>
          <w:kern w:val="0"/>
          <w:sz w:val="32"/>
          <w:szCs w:val="32"/>
        </w:rPr>
        <w:t>储蓄国债（电子式）</w:t>
      </w:r>
      <w:r>
        <w:rPr>
          <w:rFonts w:hint="eastAsia" w:ascii="仿宋_GB2312"/>
          <w:sz w:val="32"/>
          <w:szCs w:val="32"/>
        </w:rPr>
        <w:t>发行期内，财政部会同</w:t>
      </w:r>
      <w:r>
        <w:rPr>
          <w:rFonts w:hint="default" w:ascii="仿宋_GB2312"/>
          <w:sz w:val="32"/>
          <w:szCs w:val="32"/>
          <w:lang w:val="en"/>
        </w:rPr>
        <w:t>人民银行</w:t>
      </w:r>
      <w:r>
        <w:rPr>
          <w:rFonts w:ascii="仿宋_GB2312"/>
          <w:sz w:val="32"/>
          <w:szCs w:val="32"/>
        </w:rPr>
        <w:t>可以</w:t>
      </w:r>
      <w:r>
        <w:rPr>
          <w:rFonts w:hint="eastAsia" w:ascii="仿宋_GB2312"/>
          <w:sz w:val="32"/>
          <w:szCs w:val="32"/>
        </w:rPr>
        <w:t>调减销售进度缓慢的承销团成员剩余基本代销额度，调减出的额度纳入未分配机动代销额度，于调整日次日起供承销团成员抓取。具体调整方式为：</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ascii="仿宋_GB2312"/>
          <w:sz w:val="32"/>
          <w:szCs w:val="32"/>
        </w:rPr>
      </w:pPr>
      <w:r>
        <w:rPr>
          <w:rFonts w:hint="eastAsia" w:ascii="仿宋_GB2312"/>
          <w:sz w:val="32"/>
          <w:szCs w:val="32"/>
        </w:rPr>
        <w:t>（一）定期调整。</w:t>
      </w:r>
      <w:r>
        <w:rPr>
          <w:rFonts w:hint="eastAsia" w:ascii="仿宋_GB2312"/>
          <w:sz w:val="32"/>
          <w:szCs w:val="32"/>
          <w:lang w:eastAsia="zh-CN"/>
        </w:rPr>
        <w:t>承销团成员获得的基本代销额度可销售至</w:t>
      </w:r>
      <w:r>
        <w:rPr>
          <w:rFonts w:hint="eastAsia" w:ascii="仿宋_GB2312"/>
          <w:sz w:val="32"/>
          <w:szCs w:val="32"/>
        </w:rPr>
        <w:t>国债发行通知中规定</w:t>
      </w:r>
      <w:r>
        <w:rPr>
          <w:rFonts w:hint="eastAsia" w:ascii="仿宋_GB2312"/>
          <w:sz w:val="32"/>
          <w:szCs w:val="32"/>
          <w:lang w:eastAsia="zh-CN"/>
        </w:rPr>
        <w:t>的定期调整日，此后，承销团成员剩余基本代销额度不再保留，纳入未分配机动代销额度。定期调整日</w:t>
      </w:r>
      <w:r>
        <w:rPr>
          <w:rFonts w:hint="eastAsia" w:ascii="仿宋_GB2312"/>
          <w:sz w:val="32"/>
          <w:szCs w:val="32"/>
        </w:rPr>
        <w:t>次日营业开始前，</w:t>
      </w:r>
      <w:r>
        <w:rPr>
          <w:rFonts w:hint="eastAsia" w:ascii="仿宋_GB2312"/>
          <w:sz w:val="32"/>
          <w:szCs w:val="32"/>
          <w:lang w:eastAsia="zh-CN"/>
        </w:rPr>
        <w:t>中央国债登记结算有限责任公司（以下称</w:t>
      </w:r>
      <w:r>
        <w:rPr>
          <w:rFonts w:hint="eastAsia" w:ascii="仿宋_GB2312"/>
          <w:sz w:val="32"/>
          <w:szCs w:val="32"/>
        </w:rPr>
        <w:t>国债公司</w:t>
      </w:r>
      <w:r>
        <w:rPr>
          <w:rFonts w:hint="eastAsia" w:ascii="仿宋_GB2312"/>
          <w:sz w:val="32"/>
          <w:szCs w:val="32"/>
          <w:lang w:eastAsia="zh-CN"/>
        </w:rPr>
        <w:t>）</w:t>
      </w:r>
      <w:r>
        <w:rPr>
          <w:rFonts w:hint="eastAsia" w:ascii="仿宋_GB2312"/>
          <w:sz w:val="32"/>
          <w:szCs w:val="32"/>
        </w:rPr>
        <w:t>在</w:t>
      </w:r>
      <w:r>
        <w:rPr>
          <w:rFonts w:ascii="仿宋_GB2312"/>
          <w:sz w:val="32"/>
          <w:szCs w:val="32"/>
        </w:rPr>
        <w:t>财政部系统</w:t>
      </w:r>
      <w:r>
        <w:rPr>
          <w:rFonts w:hint="eastAsia" w:ascii="仿宋_GB2312"/>
          <w:sz w:val="32"/>
          <w:szCs w:val="32"/>
        </w:rPr>
        <w:t>中将已通过调整日总量数据核查的承销团成员</w:t>
      </w:r>
      <w:r>
        <w:rPr>
          <w:rFonts w:hint="eastAsia" w:ascii="仿宋_GB2312"/>
          <w:sz w:val="32"/>
          <w:szCs w:val="32"/>
          <w:lang w:eastAsia="zh-CN"/>
        </w:rPr>
        <w:t>的剩余</w:t>
      </w:r>
      <w:r>
        <w:rPr>
          <w:rFonts w:hint="eastAsia" w:ascii="仿宋_GB2312"/>
          <w:sz w:val="32"/>
          <w:szCs w:val="32"/>
        </w:rPr>
        <w:t>基本代销额度调减为零，并等额调增未分配机动代销额度</w:t>
      </w:r>
      <w:r>
        <w:rPr>
          <w:rFonts w:hint="eastAsia" w:ascii="仿宋_GB2312"/>
          <w:sz w:val="32"/>
          <w:szCs w:val="32"/>
          <w:lang w:eastAsia="zh-CN"/>
        </w:rPr>
        <w:t>；</w:t>
      </w:r>
      <w:r>
        <w:rPr>
          <w:rFonts w:hint="eastAsia" w:ascii="仿宋_GB2312"/>
          <w:sz w:val="32"/>
          <w:szCs w:val="32"/>
        </w:rPr>
        <w:t>已通过调整日总量数据核查的承销团成员，</w:t>
      </w:r>
      <w:r>
        <w:rPr>
          <w:rFonts w:ascii="仿宋_GB2312"/>
          <w:sz w:val="32"/>
          <w:szCs w:val="32"/>
        </w:rPr>
        <w:t>应当</w:t>
      </w:r>
      <w:r>
        <w:rPr>
          <w:rFonts w:hint="eastAsia" w:ascii="仿宋_GB2312"/>
          <w:sz w:val="32"/>
          <w:szCs w:val="32"/>
        </w:rPr>
        <w:t>在其业务系统中，将其剩余基本代销额度调减为零。</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ascii="仿宋_GB2312"/>
          <w:sz w:val="32"/>
          <w:szCs w:val="32"/>
        </w:rPr>
      </w:pPr>
      <w:r>
        <w:rPr>
          <w:rFonts w:hint="eastAsia" w:ascii="仿宋_GB2312"/>
          <w:sz w:val="32"/>
          <w:szCs w:val="32"/>
        </w:rPr>
        <w:t>（二）不定期调整。财政部会同</w:t>
      </w:r>
      <w:r>
        <w:rPr>
          <w:rFonts w:hint="default" w:ascii="仿宋_GB2312"/>
          <w:sz w:val="32"/>
          <w:szCs w:val="32"/>
          <w:lang w:val="en"/>
        </w:rPr>
        <w:t>人民银行</w:t>
      </w:r>
      <w:r>
        <w:rPr>
          <w:rFonts w:hint="eastAsia" w:ascii="仿宋_GB2312"/>
          <w:sz w:val="32"/>
          <w:szCs w:val="32"/>
        </w:rPr>
        <w:t>根据各承销团成员销售情况，决定调减部分承销团成员剩余基本代销额度的日期和比例，并通知</w:t>
      </w:r>
      <w:r>
        <w:rPr>
          <w:rFonts w:hint="eastAsia" w:ascii="仿宋_GB2312"/>
          <w:snapToGrid w:val="0"/>
          <w:kern w:val="0"/>
          <w:sz w:val="32"/>
          <w:szCs w:val="32"/>
        </w:rPr>
        <w:t>国债公司</w:t>
      </w:r>
      <w:r>
        <w:rPr>
          <w:rFonts w:hint="eastAsia" w:ascii="仿宋_GB2312"/>
          <w:snapToGrid w:val="0"/>
          <w:kern w:val="0"/>
          <w:sz w:val="32"/>
          <w:szCs w:val="32"/>
          <w:lang w:eastAsia="zh-CN"/>
        </w:rPr>
        <w:t>和</w:t>
      </w:r>
      <w:r>
        <w:rPr>
          <w:rFonts w:hint="eastAsia" w:ascii="仿宋_GB2312"/>
          <w:sz w:val="32"/>
          <w:szCs w:val="32"/>
        </w:rPr>
        <w:t>被调减的承销团成员。具体调减数额为调整日日终承销团成员剩余基本代销额度与上述比例的乘积，计算结果按万元为单位取整，尾数舍去。如调整比例为100%，承销团成员全部剩余基本代销额度调减为零。调整日次日营业开始前，国债公司在</w:t>
      </w:r>
      <w:r>
        <w:rPr>
          <w:rFonts w:ascii="仿宋_GB2312"/>
          <w:sz w:val="32"/>
          <w:szCs w:val="32"/>
        </w:rPr>
        <w:t>财政部系统</w:t>
      </w:r>
      <w:r>
        <w:rPr>
          <w:rFonts w:hint="eastAsia" w:ascii="仿宋_GB2312"/>
          <w:sz w:val="32"/>
          <w:szCs w:val="32"/>
        </w:rPr>
        <w:t>中如数调减有关承销团成员</w:t>
      </w:r>
      <w:r>
        <w:rPr>
          <w:rFonts w:hint="eastAsia" w:ascii="仿宋_GB2312"/>
          <w:sz w:val="32"/>
          <w:szCs w:val="32"/>
          <w:lang w:eastAsia="zh-CN"/>
        </w:rPr>
        <w:t>的</w:t>
      </w:r>
      <w:r>
        <w:rPr>
          <w:rFonts w:hint="eastAsia" w:ascii="仿宋_GB2312"/>
          <w:sz w:val="32"/>
          <w:szCs w:val="32"/>
        </w:rPr>
        <w:t>基本代销额度，并等额调增未分配机动代销额度</w:t>
      </w:r>
      <w:r>
        <w:rPr>
          <w:rFonts w:hint="eastAsia" w:ascii="仿宋_GB2312"/>
          <w:sz w:val="32"/>
          <w:szCs w:val="32"/>
          <w:lang w:eastAsia="zh-CN"/>
        </w:rPr>
        <w:t>；</w:t>
      </w:r>
      <w:r>
        <w:rPr>
          <w:rFonts w:hint="eastAsia" w:ascii="仿宋_GB2312"/>
          <w:sz w:val="32"/>
          <w:szCs w:val="32"/>
        </w:rPr>
        <w:t>已通过调整日总量数据核查的被调减承销团成员</w:t>
      </w:r>
      <w:r>
        <w:rPr>
          <w:rFonts w:ascii="仿宋_GB2312"/>
          <w:sz w:val="32"/>
          <w:szCs w:val="32"/>
        </w:rPr>
        <w:t>应当</w:t>
      </w:r>
      <w:r>
        <w:rPr>
          <w:rFonts w:hint="eastAsia" w:ascii="仿宋_GB2312"/>
          <w:sz w:val="32"/>
          <w:szCs w:val="32"/>
        </w:rPr>
        <w:t>在其业务系统中，如数调减其基本代销额度。</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default" w:ascii="仿宋_GB2312"/>
          <w:b/>
          <w:bCs/>
          <w:sz w:val="32"/>
          <w:szCs w:val="32"/>
          <w:lang w:eastAsia="zh-CN"/>
        </w:rPr>
      </w:pPr>
      <w:r>
        <w:rPr>
          <w:rFonts w:hint="eastAsia" w:ascii="仿宋_GB2312"/>
          <w:sz w:val="32"/>
          <w:szCs w:val="32"/>
        </w:rPr>
        <w:t>（三）如</w:t>
      </w:r>
      <w:r>
        <w:rPr>
          <w:rFonts w:hint="eastAsia" w:ascii="仿宋_GB2312"/>
          <w:sz w:val="32"/>
          <w:szCs w:val="32"/>
          <w:lang w:eastAsia="zh-CN"/>
        </w:rPr>
        <w:t>有</w:t>
      </w:r>
      <w:r>
        <w:rPr>
          <w:rFonts w:hint="eastAsia" w:ascii="仿宋_GB2312"/>
          <w:sz w:val="32"/>
          <w:szCs w:val="32"/>
        </w:rPr>
        <w:t>承销团成员调整日未通过总量数据核查，</w:t>
      </w:r>
      <w:r>
        <w:rPr>
          <w:rFonts w:hint="eastAsia" w:ascii="仿宋_GB2312"/>
          <w:sz w:val="32"/>
          <w:szCs w:val="32"/>
          <w:lang w:eastAsia="zh-CN"/>
        </w:rPr>
        <w:t>其基本代销额度的</w:t>
      </w:r>
      <w:r>
        <w:rPr>
          <w:rFonts w:hint="eastAsia" w:ascii="仿宋_GB2312"/>
          <w:sz w:val="32"/>
          <w:szCs w:val="32"/>
        </w:rPr>
        <w:t>上述两种调减操作均暂不执行，当日剩余发行额度冻结；待</w:t>
      </w:r>
      <w:r>
        <w:rPr>
          <w:rFonts w:hint="eastAsia" w:ascii="仿宋_GB2312"/>
          <w:sz w:val="32"/>
          <w:szCs w:val="32"/>
          <w:lang w:eastAsia="zh-CN"/>
        </w:rPr>
        <w:t>其</w:t>
      </w:r>
      <w:r>
        <w:rPr>
          <w:rFonts w:hint="eastAsia" w:ascii="仿宋_GB2312"/>
          <w:sz w:val="32"/>
          <w:szCs w:val="32"/>
        </w:rPr>
        <w:t>总量数据核查通过后，再</w:t>
      </w:r>
      <w:r>
        <w:rPr>
          <w:rFonts w:hint="eastAsia" w:ascii="仿宋_GB2312"/>
          <w:sz w:val="32"/>
          <w:szCs w:val="32"/>
          <w:lang w:eastAsia="zh-CN"/>
        </w:rPr>
        <w:t>对其基本代销额度</w:t>
      </w:r>
      <w:r>
        <w:rPr>
          <w:rFonts w:hint="eastAsia" w:ascii="仿宋_GB2312"/>
          <w:sz w:val="32"/>
          <w:szCs w:val="32"/>
        </w:rPr>
        <w:t>执行调减操作。</w:t>
      </w:r>
    </w:p>
    <w:p>
      <w:pPr>
        <w:keepNext w:val="0"/>
        <w:keepLines w:val="0"/>
        <w:pageBreakBefore w:val="0"/>
        <w:kinsoku/>
        <w:wordWrap/>
        <w:overflowPunct/>
        <w:topLinePunct w:val="0"/>
        <w:autoSpaceDE/>
        <w:autoSpaceDN/>
        <w:bidi w:val="0"/>
        <w:adjustRightInd w:val="0"/>
        <w:snapToGrid w:val="0"/>
        <w:spacing w:line="360" w:lineRule="auto"/>
        <w:ind w:firstLine="642" w:firstLineChars="200"/>
        <w:textAlignment w:val="auto"/>
        <w:rPr>
          <w:rFonts w:ascii="仿宋_GB2312"/>
          <w:sz w:val="32"/>
          <w:szCs w:val="32"/>
        </w:rPr>
      </w:pPr>
      <w:r>
        <w:rPr>
          <w:rFonts w:hint="eastAsia" w:ascii="仿宋_GB2312"/>
          <w:b/>
          <w:bCs/>
          <w:sz w:val="32"/>
          <w:szCs w:val="32"/>
          <w:lang w:eastAsia="zh-CN"/>
        </w:rPr>
        <w:t>第九条</w:t>
      </w:r>
      <w:r>
        <w:rPr>
          <w:rFonts w:hint="eastAsia" w:ascii="仿宋_GB2312"/>
          <w:sz w:val="32"/>
          <w:szCs w:val="32"/>
          <w:lang w:val="en-US" w:eastAsia="zh-CN"/>
        </w:rPr>
        <w:t xml:space="preserve"> </w:t>
      </w:r>
      <w:r>
        <w:rPr>
          <w:rFonts w:hint="eastAsia" w:ascii="仿宋_GB2312"/>
          <w:sz w:val="32"/>
          <w:szCs w:val="32"/>
          <w:lang w:eastAsia="zh-CN"/>
        </w:rPr>
        <w:t>发行期每日日终，通过财政部系统总量数据核查的承销团成员</w:t>
      </w:r>
      <w:r>
        <w:rPr>
          <w:rFonts w:hint="eastAsia" w:ascii="仿宋_GB2312"/>
          <w:sz w:val="32"/>
          <w:szCs w:val="32"/>
        </w:rPr>
        <w:t>，</w:t>
      </w:r>
      <w:r>
        <w:rPr>
          <w:rFonts w:hint="eastAsia" w:ascii="仿宋_GB2312"/>
          <w:sz w:val="32"/>
          <w:szCs w:val="32"/>
          <w:lang w:eastAsia="zh-CN"/>
        </w:rPr>
        <w:t>应当将本单位未售出的机动代销额度清零。在计算承销团成员当日未售出机动代销额度时，按照先销售基本代销额度、后销售机动代销额度的原则计算。国债公司在财政部系统中等额调增未分配机动代销额度。</w:t>
      </w:r>
      <w:r>
        <w:rPr>
          <w:rFonts w:hint="eastAsia" w:ascii="仿宋_GB2312"/>
          <w:sz w:val="32"/>
          <w:szCs w:val="32"/>
        </w:rPr>
        <w:t>承销团成员当日剩余并清零的</w:t>
      </w:r>
      <w:r>
        <w:rPr>
          <w:rFonts w:hint="eastAsia" w:ascii="仿宋_GB2312"/>
          <w:snapToGrid w:val="0"/>
          <w:kern w:val="0"/>
          <w:sz w:val="32"/>
          <w:szCs w:val="32"/>
        </w:rPr>
        <w:t>储蓄国债（电子式）</w:t>
      </w:r>
      <w:r>
        <w:rPr>
          <w:rFonts w:hint="eastAsia" w:ascii="仿宋_GB2312"/>
          <w:sz w:val="32"/>
          <w:szCs w:val="32"/>
        </w:rPr>
        <w:t>机动代销额度，不得超过其当期国债</w:t>
      </w:r>
      <w:r>
        <w:rPr>
          <w:rFonts w:hint="eastAsia" w:ascii="仿宋_GB2312"/>
          <w:sz w:val="32"/>
          <w:szCs w:val="32"/>
          <w:lang w:eastAsia="zh-CN"/>
        </w:rPr>
        <w:t>初始</w:t>
      </w:r>
      <w:r>
        <w:rPr>
          <w:rFonts w:hint="eastAsia" w:ascii="仿宋_GB2312"/>
          <w:sz w:val="32"/>
          <w:szCs w:val="32"/>
        </w:rPr>
        <w:t>基本代销额度的</w:t>
      </w:r>
      <w:r>
        <w:rPr>
          <w:rFonts w:hint="eastAsia" w:ascii="仿宋_GB2312"/>
          <w:sz w:val="32"/>
          <w:szCs w:val="32"/>
          <w:lang w:val="en-US" w:eastAsia="zh-CN"/>
        </w:rPr>
        <w:t>5</w:t>
      </w:r>
      <w:r>
        <w:rPr>
          <w:rFonts w:hint="eastAsia" w:ascii="仿宋_GB2312"/>
          <w:sz w:val="32"/>
          <w:szCs w:val="32"/>
        </w:rPr>
        <w:t>%。</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ascii="仿宋_GB2312"/>
          <w:sz w:val="32"/>
          <w:szCs w:val="32"/>
        </w:rPr>
      </w:pPr>
      <w:r>
        <w:rPr>
          <w:rFonts w:hint="eastAsia" w:ascii="仿宋_GB2312"/>
          <w:sz w:val="32"/>
          <w:szCs w:val="32"/>
        </w:rPr>
        <w:t>仅通过当期国债</w:t>
      </w:r>
      <w:r>
        <w:rPr>
          <w:rFonts w:hint="eastAsia" w:ascii="仿宋_GB2312"/>
          <w:sz w:val="32"/>
          <w:szCs w:val="32"/>
          <w:lang w:eastAsia="zh-CN"/>
        </w:rPr>
        <w:t>总量数据核查、</w:t>
      </w:r>
      <w:r>
        <w:rPr>
          <w:rFonts w:hint="eastAsia" w:ascii="仿宋_GB2312"/>
          <w:sz w:val="32"/>
          <w:szCs w:val="32"/>
        </w:rPr>
        <w:t>未通过明细数据核查</w:t>
      </w:r>
      <w:r>
        <w:rPr>
          <w:rFonts w:hint="eastAsia" w:ascii="仿宋_GB2312"/>
          <w:sz w:val="32"/>
          <w:szCs w:val="32"/>
          <w:lang w:eastAsia="zh-CN"/>
        </w:rPr>
        <w:t>的</w:t>
      </w:r>
      <w:r>
        <w:rPr>
          <w:rFonts w:hint="eastAsia" w:ascii="仿宋_GB2312"/>
          <w:sz w:val="32"/>
          <w:szCs w:val="32"/>
        </w:rPr>
        <w:t>承销团成员，</w:t>
      </w:r>
      <w:r>
        <w:rPr>
          <w:rFonts w:ascii="仿宋_GB2312"/>
          <w:sz w:val="32"/>
          <w:szCs w:val="32"/>
        </w:rPr>
        <w:t>应</w:t>
      </w:r>
      <w:r>
        <w:rPr>
          <w:rFonts w:hint="eastAsia" w:ascii="仿宋_GB2312"/>
          <w:sz w:val="32"/>
          <w:szCs w:val="32"/>
        </w:rPr>
        <w:t>当于次日查找原因并更正数据；如次日仍未通过，第3日起，</w:t>
      </w:r>
      <w:r>
        <w:rPr>
          <w:rFonts w:hint="eastAsia" w:ascii="仿宋_GB2312"/>
          <w:sz w:val="32"/>
          <w:szCs w:val="32"/>
          <w:lang w:eastAsia="zh-CN"/>
        </w:rPr>
        <w:t>不得申请</w:t>
      </w:r>
      <w:r>
        <w:rPr>
          <w:rFonts w:hint="eastAsia" w:ascii="仿宋_GB2312"/>
          <w:sz w:val="32"/>
          <w:szCs w:val="32"/>
        </w:rPr>
        <w:t>机动代销额度，</w:t>
      </w:r>
      <w:r>
        <w:rPr>
          <w:rFonts w:hint="eastAsia" w:ascii="仿宋_GB2312"/>
          <w:sz w:val="32"/>
          <w:szCs w:val="32"/>
          <w:lang w:eastAsia="zh-CN"/>
        </w:rPr>
        <w:t>待</w:t>
      </w:r>
      <w:r>
        <w:rPr>
          <w:rFonts w:hint="eastAsia" w:ascii="仿宋_GB2312"/>
          <w:sz w:val="32"/>
          <w:szCs w:val="32"/>
        </w:rPr>
        <w:t>明细数据核查通过后</w:t>
      </w:r>
      <w:r>
        <w:rPr>
          <w:rFonts w:hint="eastAsia" w:ascii="仿宋_GB2312"/>
          <w:sz w:val="32"/>
          <w:szCs w:val="32"/>
          <w:lang w:eastAsia="zh-CN"/>
        </w:rPr>
        <w:t>方可</w:t>
      </w:r>
      <w:r>
        <w:rPr>
          <w:rFonts w:hint="eastAsia" w:ascii="仿宋_GB2312"/>
          <w:sz w:val="32"/>
          <w:szCs w:val="32"/>
        </w:rPr>
        <w:t>恢复。</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ascii="仿宋_GB2312"/>
          <w:sz w:val="32"/>
          <w:szCs w:val="32"/>
        </w:rPr>
      </w:pPr>
      <w:r>
        <w:rPr>
          <w:rFonts w:hint="eastAsia" w:ascii="仿宋_GB2312"/>
          <w:sz w:val="32"/>
          <w:szCs w:val="32"/>
        </w:rPr>
        <w:t>未通过当期国债</w:t>
      </w:r>
      <w:r>
        <w:rPr>
          <w:rFonts w:hint="eastAsia" w:ascii="仿宋_GB2312"/>
          <w:sz w:val="32"/>
          <w:szCs w:val="32"/>
          <w:lang w:eastAsia="zh-CN"/>
        </w:rPr>
        <w:t>总量数据核查的</w:t>
      </w:r>
      <w:r>
        <w:rPr>
          <w:rFonts w:hint="eastAsia" w:ascii="仿宋_GB2312"/>
          <w:sz w:val="32"/>
          <w:szCs w:val="32"/>
        </w:rPr>
        <w:t>承销团成员，应当冻结当日未售出发行额度，并于次日</w:t>
      </w:r>
      <w:r>
        <w:rPr>
          <w:rFonts w:hint="eastAsia" w:ascii="仿宋_GB2312"/>
          <w:sz w:val="32"/>
          <w:szCs w:val="32"/>
          <w:lang w:eastAsia="zh-CN"/>
        </w:rPr>
        <w:t>起</w:t>
      </w:r>
      <w:r>
        <w:rPr>
          <w:rFonts w:hint="eastAsia" w:ascii="仿宋_GB2312"/>
          <w:sz w:val="32"/>
          <w:szCs w:val="32"/>
        </w:rPr>
        <w:t>停止销售该期国债，同时查找原因尽快更正，</w:t>
      </w:r>
      <w:r>
        <w:rPr>
          <w:rFonts w:hint="eastAsia" w:ascii="仿宋_GB2312"/>
          <w:sz w:val="32"/>
          <w:szCs w:val="32"/>
          <w:lang w:eastAsia="zh-CN"/>
        </w:rPr>
        <w:t>待</w:t>
      </w:r>
      <w:r>
        <w:rPr>
          <w:rFonts w:hint="eastAsia" w:ascii="仿宋_GB2312"/>
          <w:sz w:val="32"/>
          <w:szCs w:val="32"/>
        </w:rPr>
        <w:t>总量数据核查通过后方可恢复销售。</w:t>
      </w:r>
    </w:p>
    <w:p>
      <w:pPr>
        <w:keepNext w:val="0"/>
        <w:keepLines w:val="0"/>
        <w:pageBreakBefore w:val="0"/>
        <w:kinsoku/>
        <w:wordWrap/>
        <w:overflowPunct/>
        <w:topLinePunct w:val="0"/>
        <w:autoSpaceDE/>
        <w:autoSpaceDN/>
        <w:bidi w:val="0"/>
        <w:adjustRightInd w:val="0"/>
        <w:snapToGrid w:val="0"/>
        <w:spacing w:line="360" w:lineRule="auto"/>
        <w:ind w:firstLine="642" w:firstLineChars="200"/>
        <w:textAlignment w:val="auto"/>
        <w:rPr>
          <w:rFonts w:ascii="仿宋_GB2312"/>
          <w:sz w:val="32"/>
          <w:szCs w:val="32"/>
        </w:rPr>
      </w:pPr>
      <w:r>
        <w:rPr>
          <w:rFonts w:hint="eastAsia" w:ascii="仿宋_GB2312"/>
          <w:b/>
          <w:sz w:val="32"/>
          <w:szCs w:val="32"/>
        </w:rPr>
        <w:t>第十条</w:t>
      </w:r>
      <w:r>
        <w:rPr>
          <w:rFonts w:hint="eastAsia" w:ascii="仿宋_GB2312"/>
          <w:b/>
          <w:sz w:val="32"/>
          <w:szCs w:val="32"/>
          <w:lang w:val="en-US" w:eastAsia="zh-CN"/>
        </w:rPr>
        <w:t xml:space="preserve"> </w:t>
      </w:r>
      <w:r>
        <w:rPr>
          <w:rFonts w:hint="eastAsia" w:ascii="仿宋_GB2312"/>
          <w:sz w:val="32"/>
          <w:szCs w:val="32"/>
        </w:rPr>
        <w:t>储蓄国债（电子式）发行期结束，各承销团成员通过与</w:t>
      </w:r>
      <w:r>
        <w:rPr>
          <w:rFonts w:ascii="仿宋_GB2312"/>
          <w:sz w:val="32"/>
          <w:szCs w:val="32"/>
        </w:rPr>
        <w:t>财政部系统</w:t>
      </w:r>
      <w:r>
        <w:rPr>
          <w:rFonts w:hint="eastAsia" w:ascii="仿宋_GB2312"/>
          <w:sz w:val="32"/>
          <w:szCs w:val="32"/>
        </w:rPr>
        <w:t>账务核对后，将未售出的发行额度调减为零</w:t>
      </w:r>
      <w:r>
        <w:rPr>
          <w:rFonts w:hint="eastAsia" w:ascii="仿宋_GB2312"/>
          <w:sz w:val="32"/>
          <w:szCs w:val="32"/>
          <w:lang w:eastAsia="zh-CN"/>
        </w:rPr>
        <w:t>并做</w:t>
      </w:r>
      <w:r>
        <w:rPr>
          <w:rFonts w:hint="eastAsia" w:ascii="仿宋_GB2312"/>
          <w:sz w:val="32"/>
          <w:szCs w:val="32"/>
        </w:rPr>
        <w:t>停止销售处理；国债公司在</w:t>
      </w:r>
      <w:r>
        <w:rPr>
          <w:rFonts w:ascii="仿宋_GB2312"/>
          <w:sz w:val="32"/>
          <w:szCs w:val="32"/>
        </w:rPr>
        <w:t>财政部系统</w:t>
      </w:r>
      <w:r>
        <w:rPr>
          <w:rFonts w:hint="eastAsia" w:ascii="仿宋_GB2312"/>
          <w:sz w:val="32"/>
          <w:szCs w:val="32"/>
        </w:rPr>
        <w:t>中将当期国债未售出的发行额度注销。</w:t>
      </w:r>
    </w:p>
    <w:p>
      <w:pPr>
        <w:keepNext w:val="0"/>
        <w:keepLines w:val="0"/>
        <w:pageBreakBefore w:val="0"/>
        <w:kinsoku/>
        <w:wordWrap/>
        <w:overflowPunct/>
        <w:topLinePunct w:val="0"/>
        <w:autoSpaceDE/>
        <w:autoSpaceDN/>
        <w:bidi w:val="0"/>
        <w:adjustRightInd w:val="0"/>
        <w:snapToGrid w:val="0"/>
        <w:spacing w:line="360" w:lineRule="auto"/>
        <w:ind w:firstLine="642" w:firstLineChars="200"/>
        <w:textAlignment w:val="auto"/>
        <w:rPr>
          <w:rFonts w:hint="eastAsia" w:ascii="仿宋_GB2312"/>
          <w:sz w:val="32"/>
          <w:szCs w:val="32"/>
        </w:rPr>
      </w:pPr>
      <w:r>
        <w:rPr>
          <w:rFonts w:hint="eastAsia" w:ascii="仿宋_GB2312"/>
          <w:b/>
          <w:sz w:val="32"/>
          <w:szCs w:val="32"/>
        </w:rPr>
        <w:t>第十</w:t>
      </w:r>
      <w:r>
        <w:rPr>
          <w:rFonts w:hint="eastAsia" w:ascii="仿宋_GB2312"/>
          <w:b/>
          <w:sz w:val="32"/>
          <w:szCs w:val="32"/>
          <w:lang w:eastAsia="zh-CN"/>
        </w:rPr>
        <w:t>一</w:t>
      </w:r>
      <w:r>
        <w:rPr>
          <w:rFonts w:hint="eastAsia" w:ascii="仿宋_GB2312"/>
          <w:b/>
          <w:sz w:val="32"/>
          <w:szCs w:val="32"/>
        </w:rPr>
        <w:t>条</w:t>
      </w:r>
      <w:r>
        <w:rPr>
          <w:rFonts w:hint="eastAsia" w:ascii="仿宋_GB2312"/>
          <w:sz w:val="32"/>
          <w:szCs w:val="32"/>
          <w:lang w:val="en-US" w:eastAsia="zh-CN"/>
        </w:rPr>
        <w:t xml:space="preserve"> </w:t>
      </w:r>
      <w:r>
        <w:rPr>
          <w:rFonts w:hint="eastAsia" w:ascii="仿宋_GB2312"/>
          <w:sz w:val="32"/>
          <w:szCs w:val="32"/>
        </w:rPr>
        <w:t>如储蓄国债（电子式）取消发行，原定发行首日营业开始前</w:t>
      </w:r>
      <w:r>
        <w:rPr>
          <w:rFonts w:hint="eastAsia" w:ascii="仿宋_GB2312"/>
          <w:sz w:val="32"/>
          <w:szCs w:val="32"/>
          <w:lang w:eastAsia="zh-CN"/>
        </w:rPr>
        <w:t>，</w:t>
      </w:r>
      <w:r>
        <w:rPr>
          <w:rFonts w:hint="eastAsia" w:ascii="仿宋_GB2312"/>
          <w:sz w:val="32"/>
          <w:szCs w:val="32"/>
        </w:rPr>
        <w:t>各承销团成员在其业务系统中将已</w:t>
      </w:r>
      <w:r>
        <w:rPr>
          <w:rFonts w:hint="eastAsia" w:ascii="仿宋_GB2312"/>
          <w:sz w:val="32"/>
          <w:szCs w:val="32"/>
          <w:lang w:eastAsia="zh-CN"/>
        </w:rPr>
        <w:t>获得</w:t>
      </w:r>
      <w:r>
        <w:rPr>
          <w:rFonts w:hint="eastAsia" w:ascii="仿宋_GB2312"/>
          <w:sz w:val="32"/>
          <w:szCs w:val="32"/>
        </w:rPr>
        <w:t>的基本代销额度调减为零</w:t>
      </w:r>
      <w:r>
        <w:rPr>
          <w:rFonts w:hint="eastAsia" w:ascii="仿宋_GB2312"/>
          <w:sz w:val="32"/>
          <w:szCs w:val="32"/>
          <w:lang w:eastAsia="zh-CN"/>
        </w:rPr>
        <w:t>并</w:t>
      </w:r>
      <w:r>
        <w:rPr>
          <w:rFonts w:hint="eastAsia" w:ascii="仿宋_GB2312"/>
          <w:sz w:val="32"/>
          <w:szCs w:val="32"/>
        </w:rPr>
        <w:t>做停止销售处理</w:t>
      </w:r>
      <w:r>
        <w:rPr>
          <w:rFonts w:hint="eastAsia" w:ascii="仿宋_GB2312"/>
          <w:sz w:val="32"/>
          <w:szCs w:val="32"/>
          <w:lang w:eastAsia="zh-CN"/>
        </w:rPr>
        <w:t>；</w:t>
      </w:r>
      <w:r>
        <w:rPr>
          <w:rFonts w:hint="eastAsia" w:ascii="仿宋_GB2312"/>
          <w:sz w:val="32"/>
          <w:szCs w:val="32"/>
        </w:rPr>
        <w:t>国债公司在</w:t>
      </w:r>
      <w:r>
        <w:rPr>
          <w:rFonts w:ascii="仿宋_GB2312"/>
          <w:sz w:val="32"/>
          <w:szCs w:val="32"/>
        </w:rPr>
        <w:t>财政部系统</w:t>
      </w:r>
      <w:r>
        <w:rPr>
          <w:rFonts w:hint="eastAsia" w:ascii="仿宋_GB2312"/>
          <w:sz w:val="32"/>
          <w:szCs w:val="32"/>
        </w:rPr>
        <w:t>中将当期国债发行额度注销。如储蓄国债（电子式）停止发行，停止发行日营业开始前</w:t>
      </w:r>
      <w:r>
        <w:rPr>
          <w:rFonts w:hint="eastAsia" w:ascii="仿宋_GB2312"/>
          <w:sz w:val="32"/>
          <w:szCs w:val="32"/>
          <w:lang w:eastAsia="zh-CN"/>
        </w:rPr>
        <w:t>，</w:t>
      </w:r>
      <w:r>
        <w:rPr>
          <w:rFonts w:hint="eastAsia" w:ascii="仿宋_GB2312"/>
          <w:sz w:val="32"/>
          <w:szCs w:val="32"/>
        </w:rPr>
        <w:t>各承销团成员通过与</w:t>
      </w:r>
      <w:r>
        <w:rPr>
          <w:rFonts w:ascii="仿宋_GB2312"/>
          <w:sz w:val="32"/>
          <w:szCs w:val="32"/>
        </w:rPr>
        <w:t>财政部系统</w:t>
      </w:r>
      <w:r>
        <w:rPr>
          <w:rFonts w:hint="eastAsia" w:ascii="仿宋_GB2312"/>
          <w:sz w:val="32"/>
          <w:szCs w:val="32"/>
        </w:rPr>
        <w:t>账务核对后</w:t>
      </w:r>
      <w:r>
        <w:rPr>
          <w:rFonts w:hint="eastAsia" w:ascii="仿宋_GB2312"/>
          <w:sz w:val="32"/>
          <w:szCs w:val="32"/>
          <w:lang w:eastAsia="zh-CN"/>
        </w:rPr>
        <w:t>，</w:t>
      </w:r>
      <w:r>
        <w:rPr>
          <w:rFonts w:hint="eastAsia" w:ascii="仿宋_GB2312"/>
          <w:sz w:val="32"/>
          <w:szCs w:val="32"/>
        </w:rPr>
        <w:t>将未售出的额度调减为零</w:t>
      </w:r>
      <w:r>
        <w:rPr>
          <w:rFonts w:hint="eastAsia" w:ascii="仿宋_GB2312"/>
          <w:sz w:val="32"/>
          <w:szCs w:val="32"/>
          <w:lang w:eastAsia="zh-CN"/>
        </w:rPr>
        <w:t>并做</w:t>
      </w:r>
      <w:r>
        <w:rPr>
          <w:rFonts w:hint="eastAsia" w:ascii="仿宋_GB2312"/>
          <w:sz w:val="32"/>
          <w:szCs w:val="32"/>
        </w:rPr>
        <w:t>停止销售处理</w:t>
      </w:r>
      <w:r>
        <w:rPr>
          <w:rFonts w:hint="eastAsia" w:ascii="仿宋_GB2312"/>
          <w:sz w:val="32"/>
          <w:szCs w:val="32"/>
          <w:lang w:eastAsia="zh-CN"/>
        </w:rPr>
        <w:t>；</w:t>
      </w:r>
      <w:r>
        <w:rPr>
          <w:rFonts w:hint="eastAsia" w:ascii="仿宋_GB2312"/>
          <w:sz w:val="32"/>
          <w:szCs w:val="32"/>
        </w:rPr>
        <w:t>国债公司在</w:t>
      </w:r>
      <w:r>
        <w:rPr>
          <w:rFonts w:ascii="仿宋_GB2312"/>
          <w:sz w:val="32"/>
          <w:szCs w:val="32"/>
        </w:rPr>
        <w:t>财政部系统</w:t>
      </w:r>
      <w:r>
        <w:rPr>
          <w:rFonts w:hint="eastAsia" w:ascii="仿宋_GB2312"/>
          <w:sz w:val="32"/>
          <w:szCs w:val="32"/>
        </w:rPr>
        <w:t>中将当期国债未售出的发行额度注销。</w:t>
      </w:r>
    </w:p>
    <w:p>
      <w:pPr>
        <w:keepNext w:val="0"/>
        <w:keepLines w:val="0"/>
        <w:pageBreakBefore w:val="0"/>
        <w:kinsoku/>
        <w:wordWrap/>
        <w:overflowPunct/>
        <w:topLinePunct w:val="0"/>
        <w:autoSpaceDE/>
        <w:autoSpaceDN/>
        <w:bidi w:val="0"/>
        <w:adjustRightInd w:val="0"/>
        <w:snapToGrid w:val="0"/>
        <w:spacing w:line="360" w:lineRule="auto"/>
        <w:ind w:firstLine="642" w:firstLineChars="200"/>
        <w:textAlignment w:val="auto"/>
        <w:rPr>
          <w:rFonts w:ascii="仿宋_GB2312"/>
          <w:snapToGrid w:val="0"/>
          <w:kern w:val="0"/>
          <w:sz w:val="32"/>
          <w:szCs w:val="32"/>
        </w:rPr>
      </w:pPr>
      <w:r>
        <w:rPr>
          <w:rFonts w:hint="eastAsia" w:ascii="仿宋_GB2312"/>
          <w:b/>
          <w:snapToGrid w:val="0"/>
          <w:kern w:val="0"/>
          <w:sz w:val="32"/>
          <w:szCs w:val="32"/>
        </w:rPr>
        <w:t>第</w:t>
      </w:r>
      <w:r>
        <w:rPr>
          <w:rFonts w:hint="eastAsia" w:ascii="仿宋_GB2312"/>
          <w:b/>
          <w:snapToGrid w:val="0"/>
          <w:kern w:val="0"/>
          <w:sz w:val="32"/>
          <w:szCs w:val="32"/>
          <w:lang w:eastAsia="zh-CN"/>
        </w:rPr>
        <w:t>十二</w:t>
      </w:r>
      <w:r>
        <w:rPr>
          <w:rFonts w:hint="eastAsia" w:ascii="仿宋_GB2312"/>
          <w:b/>
          <w:snapToGrid w:val="0"/>
          <w:kern w:val="0"/>
          <w:sz w:val="32"/>
          <w:szCs w:val="32"/>
        </w:rPr>
        <w:t>条</w:t>
      </w:r>
      <w:r>
        <w:rPr>
          <w:rFonts w:hint="eastAsia" w:ascii="仿宋_GB2312"/>
          <w:b/>
          <w:snapToGrid w:val="0"/>
          <w:kern w:val="0"/>
          <w:sz w:val="32"/>
          <w:szCs w:val="32"/>
          <w:lang w:val="en-US" w:eastAsia="zh-CN"/>
        </w:rPr>
        <w:t xml:space="preserve"> </w:t>
      </w:r>
      <w:r>
        <w:rPr>
          <w:rFonts w:hint="eastAsia" w:ascii="仿宋_GB2312"/>
          <w:snapToGrid w:val="0"/>
          <w:kern w:val="0"/>
          <w:sz w:val="32"/>
          <w:szCs w:val="32"/>
        </w:rPr>
        <w:t>如承销团成员无法参加某期储蓄国债（电子式）发行，</w:t>
      </w:r>
      <w:r>
        <w:rPr>
          <w:rFonts w:ascii="仿宋_GB2312"/>
          <w:snapToGrid w:val="0"/>
          <w:kern w:val="0"/>
          <w:sz w:val="32"/>
          <w:szCs w:val="32"/>
        </w:rPr>
        <w:t>应当</w:t>
      </w:r>
      <w:r>
        <w:rPr>
          <w:rFonts w:hint="eastAsia" w:ascii="仿宋_GB2312"/>
          <w:snapToGrid w:val="0"/>
          <w:kern w:val="0"/>
          <w:sz w:val="32"/>
          <w:szCs w:val="32"/>
        </w:rPr>
        <w:t>不晚于当期国债发行前20个工作日报告财政部和</w:t>
      </w:r>
      <w:r>
        <w:rPr>
          <w:rFonts w:hint="default" w:ascii="仿宋_GB2312"/>
          <w:snapToGrid w:val="0"/>
          <w:kern w:val="0"/>
          <w:sz w:val="32"/>
          <w:szCs w:val="32"/>
          <w:lang w:val="en"/>
        </w:rPr>
        <w:t>人民银行</w:t>
      </w:r>
      <w:r>
        <w:rPr>
          <w:rFonts w:hint="eastAsia" w:ascii="仿宋_GB2312"/>
          <w:snapToGrid w:val="0"/>
          <w:kern w:val="0"/>
          <w:sz w:val="32"/>
          <w:szCs w:val="32"/>
        </w:rPr>
        <w:t>，其基本代销额度纳入当期国债机动代销额度，供其他承销团成员抓取。</w:t>
      </w:r>
    </w:p>
    <w:p>
      <w:pPr>
        <w:keepNext w:val="0"/>
        <w:keepLines w:val="0"/>
        <w:pageBreakBefore w:val="0"/>
        <w:kinsoku/>
        <w:wordWrap/>
        <w:overflowPunct/>
        <w:topLinePunct w:val="0"/>
        <w:autoSpaceDE/>
        <w:autoSpaceDN/>
        <w:bidi w:val="0"/>
        <w:adjustRightInd w:val="0"/>
        <w:snapToGrid w:val="0"/>
        <w:spacing w:line="360" w:lineRule="auto"/>
        <w:ind w:firstLine="642" w:firstLineChars="200"/>
        <w:textAlignment w:val="auto"/>
        <w:rPr>
          <w:rFonts w:hint="eastAsia" w:ascii="仿宋_GB2312"/>
          <w:b/>
          <w:sz w:val="32"/>
          <w:szCs w:val="32"/>
          <w:lang w:eastAsia="zh-CN"/>
        </w:rPr>
      </w:pPr>
      <w:r>
        <w:rPr>
          <w:rFonts w:hint="eastAsia" w:ascii="仿宋_GB2312"/>
          <w:b/>
          <w:sz w:val="32"/>
          <w:szCs w:val="32"/>
        </w:rPr>
        <w:t>第十</w:t>
      </w:r>
      <w:r>
        <w:rPr>
          <w:rFonts w:hint="eastAsia" w:ascii="仿宋_GB2312"/>
          <w:b/>
          <w:sz w:val="32"/>
          <w:szCs w:val="32"/>
          <w:lang w:eastAsia="zh-CN"/>
        </w:rPr>
        <w:t>三</w:t>
      </w:r>
      <w:r>
        <w:rPr>
          <w:rFonts w:hint="eastAsia" w:ascii="仿宋_GB2312"/>
          <w:b/>
          <w:sz w:val="32"/>
          <w:szCs w:val="32"/>
        </w:rPr>
        <w:t>条</w:t>
      </w:r>
      <w:r>
        <w:rPr>
          <w:rFonts w:hint="eastAsia" w:ascii="仿宋_GB2312"/>
          <w:b/>
          <w:sz w:val="32"/>
          <w:szCs w:val="32"/>
          <w:lang w:val="en-US" w:eastAsia="zh-CN"/>
        </w:rPr>
        <w:t xml:space="preserve"> </w:t>
      </w:r>
      <w:r>
        <w:rPr>
          <w:rFonts w:hint="eastAsia" w:ascii="仿宋_GB2312"/>
          <w:b w:val="0"/>
          <w:bCs/>
          <w:sz w:val="32"/>
          <w:szCs w:val="32"/>
          <w:lang w:eastAsia="zh-CN"/>
        </w:rPr>
        <w:t>承销团成员违规及处理：</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ascii="仿宋_GB2312"/>
          <w:b/>
          <w:sz w:val="32"/>
          <w:szCs w:val="32"/>
        </w:rPr>
      </w:pPr>
      <w:r>
        <w:rPr>
          <w:rFonts w:hint="eastAsia" w:ascii="仿宋_GB2312"/>
          <w:sz w:val="32"/>
          <w:szCs w:val="32"/>
          <w:lang w:eastAsia="zh-CN"/>
        </w:rPr>
        <w:t>（一）如</w:t>
      </w:r>
      <w:r>
        <w:rPr>
          <w:rFonts w:hint="eastAsia" w:ascii="仿宋_GB2312"/>
          <w:sz w:val="32"/>
          <w:szCs w:val="32"/>
        </w:rPr>
        <w:t>承销团成员</w:t>
      </w:r>
      <w:r>
        <w:rPr>
          <w:rFonts w:hint="eastAsia" w:ascii="仿宋_GB2312"/>
          <w:sz w:val="32"/>
          <w:szCs w:val="32"/>
          <w:lang w:eastAsia="zh-CN"/>
        </w:rPr>
        <w:t>销售</w:t>
      </w:r>
      <w:r>
        <w:rPr>
          <w:rFonts w:hint="eastAsia" w:ascii="仿宋_GB2312"/>
          <w:sz w:val="32"/>
          <w:szCs w:val="32"/>
        </w:rPr>
        <w:t>储蓄国债（电子式）超</w:t>
      </w:r>
      <w:r>
        <w:rPr>
          <w:rFonts w:hint="eastAsia" w:ascii="仿宋_GB2312"/>
          <w:sz w:val="32"/>
          <w:szCs w:val="32"/>
          <w:lang w:eastAsia="zh-CN"/>
        </w:rPr>
        <w:t>过其获得的发行</w:t>
      </w:r>
      <w:r>
        <w:rPr>
          <w:rFonts w:hint="eastAsia" w:ascii="仿宋_GB2312"/>
          <w:sz w:val="32"/>
          <w:szCs w:val="32"/>
        </w:rPr>
        <w:t>额度，</w:t>
      </w:r>
      <w:r>
        <w:rPr>
          <w:rFonts w:hint="eastAsia" w:ascii="仿宋_GB2312"/>
          <w:sz w:val="32"/>
          <w:szCs w:val="32"/>
          <w:lang w:eastAsia="zh-CN"/>
        </w:rPr>
        <w:t>该成员</w:t>
      </w:r>
      <w:r>
        <w:rPr>
          <w:rFonts w:ascii="仿宋_GB2312"/>
          <w:sz w:val="32"/>
          <w:szCs w:val="32"/>
        </w:rPr>
        <w:t>应当</w:t>
      </w:r>
      <w:r>
        <w:rPr>
          <w:rFonts w:hint="eastAsia" w:ascii="仿宋_GB2312"/>
          <w:sz w:val="32"/>
          <w:szCs w:val="32"/>
        </w:rPr>
        <w:t>立即停止销售，并报告财政部和</w:t>
      </w:r>
      <w:r>
        <w:rPr>
          <w:rFonts w:hint="default" w:ascii="仿宋_GB2312"/>
          <w:sz w:val="32"/>
          <w:szCs w:val="32"/>
          <w:lang w:val="en"/>
        </w:rPr>
        <w:t>人民银行</w:t>
      </w:r>
      <w:r>
        <w:rPr>
          <w:rFonts w:hint="eastAsia" w:ascii="仿宋_GB2312"/>
          <w:sz w:val="32"/>
          <w:szCs w:val="32"/>
        </w:rPr>
        <w:t>。</w:t>
      </w:r>
      <w:r>
        <w:rPr>
          <w:rFonts w:hint="eastAsia" w:ascii="仿宋_GB2312"/>
          <w:snapToGrid w:val="0"/>
          <w:kern w:val="0"/>
          <w:sz w:val="32"/>
          <w:szCs w:val="32"/>
        </w:rPr>
        <w:t>如承销团成员及时更正，最终未造成当期国债</w:t>
      </w:r>
      <w:r>
        <w:rPr>
          <w:rFonts w:hint="default" w:ascii="仿宋_GB2312"/>
          <w:snapToGrid w:val="0"/>
          <w:kern w:val="0"/>
          <w:sz w:val="32"/>
          <w:szCs w:val="32"/>
          <w:lang w:val="en"/>
        </w:rPr>
        <w:t>超额度发行</w:t>
      </w:r>
      <w:r>
        <w:rPr>
          <w:rFonts w:hint="eastAsia" w:ascii="仿宋_GB2312"/>
          <w:snapToGrid w:val="0"/>
          <w:kern w:val="0"/>
          <w:sz w:val="32"/>
          <w:szCs w:val="32"/>
        </w:rPr>
        <w:t>，</w:t>
      </w:r>
      <w:r>
        <w:rPr>
          <w:rFonts w:hint="eastAsia" w:ascii="仿宋_GB2312"/>
          <w:snapToGrid w:val="0"/>
          <w:kern w:val="0"/>
          <w:sz w:val="32"/>
          <w:szCs w:val="32"/>
          <w:lang w:eastAsia="zh-CN"/>
        </w:rPr>
        <w:t>财政部会同</w:t>
      </w:r>
      <w:r>
        <w:rPr>
          <w:rFonts w:hint="default" w:ascii="仿宋_GB2312"/>
          <w:snapToGrid w:val="0"/>
          <w:kern w:val="0"/>
          <w:sz w:val="32"/>
          <w:szCs w:val="32"/>
          <w:lang w:val="en" w:eastAsia="zh-CN"/>
        </w:rPr>
        <w:t>人民银行</w:t>
      </w:r>
      <w:r>
        <w:rPr>
          <w:rFonts w:hint="eastAsia" w:ascii="仿宋_GB2312"/>
          <w:snapToGrid w:val="0"/>
          <w:kern w:val="0"/>
          <w:sz w:val="32"/>
          <w:szCs w:val="32"/>
        </w:rPr>
        <w:t>停止其后续三次发行的储蓄国债（电子式）机动代销额度抓取资格。如承销团成员更正不及时</w:t>
      </w:r>
      <w:r>
        <w:rPr>
          <w:rFonts w:hint="eastAsia" w:ascii="仿宋_GB2312"/>
          <w:snapToGrid w:val="0"/>
          <w:kern w:val="0"/>
          <w:sz w:val="32"/>
          <w:szCs w:val="32"/>
          <w:lang w:eastAsia="zh-CN"/>
        </w:rPr>
        <w:t>造成当期国债</w:t>
      </w:r>
      <w:r>
        <w:rPr>
          <w:rFonts w:hint="default" w:ascii="仿宋_GB2312"/>
          <w:snapToGrid w:val="0"/>
          <w:kern w:val="0"/>
          <w:sz w:val="32"/>
          <w:szCs w:val="32"/>
          <w:lang w:val="en" w:eastAsia="zh-CN"/>
        </w:rPr>
        <w:t>超额度发行</w:t>
      </w:r>
      <w:r>
        <w:rPr>
          <w:rFonts w:hint="eastAsia" w:ascii="仿宋_GB2312"/>
          <w:snapToGrid w:val="0"/>
          <w:kern w:val="0"/>
          <w:sz w:val="32"/>
          <w:szCs w:val="32"/>
          <w:lang w:eastAsia="zh-CN"/>
        </w:rPr>
        <w:t>，</w:t>
      </w:r>
      <w:r>
        <w:rPr>
          <w:rFonts w:hint="eastAsia" w:ascii="仿宋_GB2312"/>
          <w:snapToGrid w:val="0"/>
          <w:kern w:val="0"/>
          <w:sz w:val="32"/>
          <w:szCs w:val="32"/>
        </w:rPr>
        <w:t>或在同一届储蓄国债承销团存续期内发生两次超额度销售</w:t>
      </w:r>
      <w:r>
        <w:rPr>
          <w:rFonts w:hint="eastAsia" w:ascii="仿宋_GB2312"/>
          <w:sz w:val="32"/>
          <w:szCs w:val="32"/>
        </w:rPr>
        <w:t>储蓄国债</w:t>
      </w:r>
      <w:r>
        <w:rPr>
          <w:rFonts w:hint="eastAsia" w:ascii="仿宋_GB2312"/>
          <w:snapToGrid w:val="0"/>
          <w:kern w:val="0"/>
          <w:sz w:val="32"/>
          <w:szCs w:val="32"/>
        </w:rPr>
        <w:t>，财政部会同</w:t>
      </w:r>
      <w:r>
        <w:rPr>
          <w:rFonts w:hint="default" w:ascii="仿宋_GB2312"/>
          <w:snapToGrid w:val="0"/>
          <w:kern w:val="0"/>
          <w:sz w:val="32"/>
          <w:szCs w:val="32"/>
          <w:lang w:val="en"/>
        </w:rPr>
        <w:t>人民银行</w:t>
      </w:r>
      <w:r>
        <w:rPr>
          <w:rFonts w:hint="eastAsia" w:ascii="仿宋_GB2312"/>
          <w:snapToGrid w:val="0"/>
          <w:kern w:val="0"/>
          <w:sz w:val="32"/>
          <w:szCs w:val="32"/>
        </w:rPr>
        <w:t>通知其退出承销团。</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eastAsia="仿宋_GB2312"/>
          <w:snapToGrid w:val="0"/>
          <w:kern w:val="0"/>
          <w:sz w:val="32"/>
          <w:szCs w:val="32"/>
          <w:lang w:eastAsia="zh-CN"/>
        </w:rPr>
      </w:pPr>
      <w:r>
        <w:rPr>
          <w:rFonts w:hint="eastAsia" w:ascii="仿宋_GB2312"/>
          <w:b w:val="0"/>
          <w:bCs w:val="0"/>
          <w:snapToGrid w:val="0"/>
          <w:kern w:val="0"/>
          <w:sz w:val="32"/>
          <w:szCs w:val="32"/>
          <w:lang w:eastAsia="zh-CN"/>
        </w:rPr>
        <w:t>（二）</w:t>
      </w:r>
      <w:r>
        <w:rPr>
          <w:rFonts w:hint="eastAsia" w:ascii="仿宋_GB2312"/>
          <w:snapToGrid w:val="0"/>
          <w:kern w:val="0"/>
          <w:sz w:val="32"/>
          <w:szCs w:val="32"/>
          <w:lang w:eastAsia="zh-CN"/>
        </w:rPr>
        <w:t>如</w:t>
      </w:r>
      <w:r>
        <w:rPr>
          <w:rFonts w:hint="eastAsia" w:ascii="仿宋_GB2312"/>
          <w:sz w:val="32"/>
          <w:szCs w:val="32"/>
        </w:rPr>
        <w:t>承销团成员</w:t>
      </w:r>
      <w:r>
        <w:rPr>
          <w:rFonts w:hint="eastAsia" w:ascii="仿宋_GB2312"/>
          <w:sz w:val="32"/>
          <w:szCs w:val="32"/>
          <w:lang w:eastAsia="zh-CN"/>
        </w:rPr>
        <w:t>在某期</w:t>
      </w:r>
      <w:r>
        <w:rPr>
          <w:rFonts w:hint="eastAsia" w:ascii="仿宋_GB2312"/>
          <w:snapToGrid w:val="0"/>
          <w:kern w:val="0"/>
          <w:sz w:val="32"/>
          <w:szCs w:val="32"/>
        </w:rPr>
        <w:t>储蓄国债（电子式）</w:t>
      </w:r>
      <w:r>
        <w:rPr>
          <w:rFonts w:hint="eastAsia" w:ascii="仿宋_GB2312"/>
          <w:sz w:val="32"/>
          <w:szCs w:val="32"/>
          <w:lang w:eastAsia="zh-CN"/>
        </w:rPr>
        <w:t>发行中，首次发生</w:t>
      </w:r>
      <w:r>
        <w:rPr>
          <w:rFonts w:hint="eastAsia" w:ascii="仿宋_GB2312"/>
          <w:sz w:val="32"/>
          <w:szCs w:val="32"/>
        </w:rPr>
        <w:t>当日剩余并清零的机动代销额度</w:t>
      </w:r>
      <w:r>
        <w:rPr>
          <w:rFonts w:hint="default" w:ascii="仿宋_GB2312"/>
          <w:sz w:val="32"/>
          <w:szCs w:val="32"/>
          <w:lang w:val="en" w:eastAsia="zh-CN"/>
        </w:rPr>
        <w:t>超出限额</w:t>
      </w:r>
      <w:r>
        <w:rPr>
          <w:rFonts w:hint="eastAsia" w:ascii="仿宋_GB2312"/>
          <w:sz w:val="32"/>
          <w:szCs w:val="32"/>
          <w:lang w:eastAsia="zh-CN"/>
        </w:rPr>
        <w:t>，该成员</w:t>
      </w:r>
      <w:r>
        <w:rPr>
          <w:rFonts w:hint="eastAsia" w:ascii="仿宋_GB2312"/>
          <w:sz w:val="32"/>
          <w:szCs w:val="32"/>
          <w:highlight w:val="none"/>
          <w:lang w:eastAsia="zh-CN"/>
        </w:rPr>
        <w:t>应当暂停次日的当期</w:t>
      </w:r>
      <w:r>
        <w:rPr>
          <w:rFonts w:hint="eastAsia" w:ascii="仿宋_GB2312"/>
          <w:sz w:val="32"/>
          <w:szCs w:val="32"/>
          <w:highlight w:val="none"/>
        </w:rPr>
        <w:t>国债机动代销额度</w:t>
      </w:r>
      <w:r>
        <w:rPr>
          <w:rFonts w:hint="eastAsia" w:ascii="仿宋_GB2312"/>
          <w:sz w:val="32"/>
          <w:szCs w:val="32"/>
          <w:highlight w:val="none"/>
          <w:lang w:eastAsia="zh-CN"/>
        </w:rPr>
        <w:t>申请</w:t>
      </w:r>
      <w:r>
        <w:rPr>
          <w:rFonts w:hint="eastAsia" w:ascii="仿宋_GB2312"/>
          <w:sz w:val="32"/>
          <w:szCs w:val="32"/>
          <w:highlight w:val="none"/>
        </w:rPr>
        <w:t>；如</w:t>
      </w:r>
      <w:r>
        <w:rPr>
          <w:rFonts w:hint="eastAsia" w:ascii="仿宋_GB2312"/>
          <w:sz w:val="32"/>
          <w:szCs w:val="32"/>
          <w:highlight w:val="none"/>
          <w:lang w:eastAsia="zh-CN"/>
        </w:rPr>
        <w:t>承销团成员同一期国债</w:t>
      </w:r>
      <w:r>
        <w:rPr>
          <w:rFonts w:hint="eastAsia" w:ascii="仿宋_GB2312"/>
          <w:sz w:val="32"/>
          <w:szCs w:val="32"/>
          <w:highlight w:val="none"/>
        </w:rPr>
        <w:t>累计</w:t>
      </w:r>
      <w:r>
        <w:rPr>
          <w:rFonts w:hint="eastAsia" w:ascii="仿宋_GB2312"/>
          <w:sz w:val="32"/>
          <w:szCs w:val="32"/>
          <w:highlight w:val="none"/>
          <w:lang w:eastAsia="zh-CN"/>
        </w:rPr>
        <w:t>两次发生此类</w:t>
      </w:r>
      <w:r>
        <w:rPr>
          <w:rFonts w:hint="eastAsia" w:ascii="仿宋_GB2312"/>
          <w:sz w:val="32"/>
          <w:szCs w:val="32"/>
          <w:highlight w:val="none"/>
          <w:lang w:val="en" w:eastAsia="zh-CN"/>
        </w:rPr>
        <w:t>违规</w:t>
      </w:r>
      <w:r>
        <w:rPr>
          <w:rFonts w:hint="eastAsia" w:ascii="仿宋_GB2312"/>
          <w:sz w:val="32"/>
          <w:szCs w:val="32"/>
          <w:highlight w:val="none"/>
        </w:rPr>
        <w:t>，</w:t>
      </w:r>
      <w:r>
        <w:rPr>
          <w:rFonts w:hint="eastAsia" w:ascii="仿宋_GB2312"/>
          <w:sz w:val="32"/>
          <w:szCs w:val="32"/>
          <w:highlight w:val="none"/>
          <w:lang w:eastAsia="zh-CN"/>
        </w:rPr>
        <w:t>次日起该成员不得申请当期国债机动代销额度，同时，其下一季度储蓄国债（电子式）基本代销额度比例不得调增</w:t>
      </w:r>
      <w:r>
        <w:rPr>
          <w:rFonts w:hint="eastAsia" w:ascii="仿宋_GB2312"/>
          <w:sz w:val="32"/>
          <w:szCs w:val="32"/>
          <w:highlight w:val="none"/>
        </w:rPr>
        <w:t>。</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ascii="仿宋_GB2312"/>
          <w:snapToGrid w:val="0"/>
          <w:kern w:val="0"/>
          <w:sz w:val="32"/>
          <w:szCs w:val="32"/>
        </w:rPr>
      </w:pPr>
      <w:r>
        <w:rPr>
          <w:rFonts w:hint="eastAsia" w:ascii="仿宋_GB2312"/>
          <w:b w:val="0"/>
          <w:bCs w:val="0"/>
          <w:snapToGrid w:val="0"/>
          <w:kern w:val="0"/>
          <w:sz w:val="32"/>
          <w:szCs w:val="32"/>
          <w:lang w:eastAsia="zh-CN"/>
        </w:rPr>
        <w:t>（三）如</w:t>
      </w:r>
      <w:r>
        <w:rPr>
          <w:rFonts w:hint="eastAsia" w:ascii="仿宋_GB2312"/>
          <w:snapToGrid w:val="0"/>
          <w:kern w:val="0"/>
          <w:sz w:val="32"/>
          <w:szCs w:val="32"/>
        </w:rPr>
        <w:t>承销团成员违反储蓄国债（电子式）相关制度规定（超额度销售除外），并被财政部会同</w:t>
      </w:r>
      <w:r>
        <w:rPr>
          <w:rFonts w:hint="default" w:ascii="仿宋_GB2312"/>
          <w:snapToGrid w:val="0"/>
          <w:kern w:val="0"/>
          <w:sz w:val="32"/>
          <w:szCs w:val="32"/>
          <w:lang w:val="en"/>
        </w:rPr>
        <w:t>人民银行</w:t>
      </w:r>
      <w:r>
        <w:rPr>
          <w:rFonts w:hint="eastAsia" w:ascii="仿宋_GB2312"/>
          <w:snapToGrid w:val="0"/>
          <w:kern w:val="0"/>
          <w:sz w:val="32"/>
          <w:szCs w:val="32"/>
        </w:rPr>
        <w:t>通报，财政部会同</w:t>
      </w:r>
      <w:r>
        <w:rPr>
          <w:rFonts w:hint="default" w:ascii="仿宋_GB2312"/>
          <w:snapToGrid w:val="0"/>
          <w:kern w:val="0"/>
          <w:sz w:val="32"/>
          <w:szCs w:val="32"/>
          <w:lang w:val="en"/>
        </w:rPr>
        <w:t>人民银行</w:t>
      </w:r>
      <w:r>
        <w:rPr>
          <w:rFonts w:hint="eastAsia" w:ascii="仿宋_GB2312"/>
          <w:snapToGrid w:val="0"/>
          <w:kern w:val="0"/>
          <w:sz w:val="32"/>
          <w:szCs w:val="32"/>
        </w:rPr>
        <w:t>停止其后续一次发行的储蓄国债（电子式）机动代销额度抓取资格</w:t>
      </w:r>
      <w:r>
        <w:rPr>
          <w:rFonts w:hint="eastAsia" w:ascii="仿宋_GB2312"/>
          <w:snapToGrid w:val="0"/>
          <w:kern w:val="0"/>
          <w:sz w:val="32"/>
          <w:szCs w:val="32"/>
          <w:lang w:eastAsia="zh-CN"/>
        </w:rPr>
        <w:t>，</w:t>
      </w:r>
      <w:r>
        <w:rPr>
          <w:rFonts w:hint="eastAsia" w:ascii="仿宋_GB2312"/>
          <w:sz w:val="32"/>
          <w:szCs w:val="32"/>
          <w:highlight w:val="none"/>
          <w:lang w:eastAsia="zh-CN"/>
        </w:rPr>
        <w:t>同时，其下一季度储蓄国债（电子式）基本代销额度比例不得调增</w:t>
      </w:r>
      <w:r>
        <w:rPr>
          <w:rFonts w:hint="eastAsia" w:ascii="仿宋_GB2312"/>
          <w:sz w:val="32"/>
          <w:szCs w:val="32"/>
          <w:highlight w:val="none"/>
        </w:rPr>
        <w:t>。</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snapToGrid w:val="0"/>
          <w:kern w:val="0"/>
          <w:sz w:val="32"/>
          <w:szCs w:val="32"/>
        </w:rPr>
      </w:pPr>
      <w:r>
        <w:rPr>
          <w:rFonts w:hint="eastAsia" w:ascii="仿宋_GB2312"/>
          <w:b w:val="0"/>
          <w:snapToGrid w:val="0"/>
          <w:kern w:val="0"/>
          <w:sz w:val="32"/>
          <w:szCs w:val="32"/>
          <w:lang w:eastAsia="zh-CN"/>
        </w:rPr>
        <w:t>（四）</w:t>
      </w:r>
      <w:r>
        <w:rPr>
          <w:rFonts w:hint="eastAsia" w:ascii="仿宋_GB2312"/>
          <w:snapToGrid w:val="0"/>
          <w:kern w:val="0"/>
          <w:sz w:val="32"/>
          <w:szCs w:val="32"/>
        </w:rPr>
        <w:t>如承销团成员</w:t>
      </w:r>
      <w:r>
        <w:rPr>
          <w:rFonts w:hint="eastAsia" w:ascii="仿宋_GB2312"/>
          <w:sz w:val="32"/>
          <w:szCs w:val="32"/>
        </w:rPr>
        <w:t>超额度销售储蓄国债（</w:t>
      </w:r>
      <w:r>
        <w:rPr>
          <w:rFonts w:hint="eastAsia" w:ascii="仿宋_GB2312"/>
          <w:sz w:val="32"/>
          <w:szCs w:val="32"/>
          <w:lang w:eastAsia="zh-CN"/>
        </w:rPr>
        <w:t>凭证</w:t>
      </w:r>
      <w:r>
        <w:rPr>
          <w:rFonts w:hint="eastAsia" w:ascii="仿宋_GB2312"/>
          <w:sz w:val="32"/>
          <w:szCs w:val="32"/>
        </w:rPr>
        <w:t>式）</w:t>
      </w:r>
      <w:r>
        <w:rPr>
          <w:rFonts w:hint="eastAsia" w:ascii="仿宋_GB2312"/>
          <w:sz w:val="32"/>
          <w:szCs w:val="32"/>
          <w:lang w:eastAsia="zh-CN"/>
        </w:rPr>
        <w:t>，并及时更正，未造成当期储蓄国债（凭证式）</w:t>
      </w:r>
      <w:r>
        <w:rPr>
          <w:rFonts w:hint="default" w:ascii="仿宋_GB2312"/>
          <w:sz w:val="32"/>
          <w:szCs w:val="32"/>
          <w:lang w:val="en" w:eastAsia="zh-CN"/>
        </w:rPr>
        <w:t>超额度发行</w:t>
      </w:r>
      <w:r>
        <w:rPr>
          <w:rFonts w:hint="eastAsia" w:ascii="仿宋_GB2312"/>
          <w:sz w:val="32"/>
          <w:szCs w:val="32"/>
          <w:lang w:eastAsia="zh-CN"/>
        </w:rPr>
        <w:t>，</w:t>
      </w:r>
      <w:r>
        <w:rPr>
          <w:rFonts w:hint="eastAsia" w:ascii="仿宋_GB2312"/>
          <w:snapToGrid w:val="0"/>
          <w:kern w:val="0"/>
          <w:sz w:val="32"/>
          <w:szCs w:val="32"/>
          <w:lang w:eastAsia="zh-CN"/>
        </w:rPr>
        <w:t>其下一季度储蓄国债</w:t>
      </w:r>
      <w:r>
        <w:rPr>
          <w:rFonts w:hint="eastAsia" w:ascii="仿宋_GB2312"/>
          <w:snapToGrid w:val="0"/>
          <w:kern w:val="0"/>
          <w:sz w:val="32"/>
          <w:szCs w:val="32"/>
        </w:rPr>
        <w:t>（电子式）基本代销额度比例</w:t>
      </w:r>
      <w:r>
        <w:rPr>
          <w:rFonts w:hint="eastAsia" w:ascii="仿宋_GB2312"/>
          <w:snapToGrid w:val="0"/>
          <w:kern w:val="0"/>
          <w:sz w:val="32"/>
          <w:szCs w:val="32"/>
          <w:lang w:eastAsia="zh-CN"/>
        </w:rPr>
        <w:t>不得调增</w:t>
      </w:r>
      <w:r>
        <w:rPr>
          <w:rFonts w:hint="eastAsia" w:ascii="仿宋_GB2312"/>
          <w:snapToGrid w:val="0"/>
          <w:kern w:val="0"/>
          <w:sz w:val="32"/>
          <w:szCs w:val="32"/>
        </w:rPr>
        <w:t>。</w:t>
      </w:r>
    </w:p>
    <w:p>
      <w:pPr>
        <w:keepNext w:val="0"/>
        <w:keepLines w:val="0"/>
        <w:pageBreakBefore w:val="0"/>
        <w:kinsoku/>
        <w:wordWrap/>
        <w:overflowPunct/>
        <w:topLinePunct w:val="0"/>
        <w:autoSpaceDE/>
        <w:autoSpaceDN/>
        <w:bidi w:val="0"/>
        <w:adjustRightInd w:val="0"/>
        <w:snapToGrid w:val="0"/>
        <w:spacing w:line="360" w:lineRule="auto"/>
        <w:ind w:firstLine="642" w:firstLineChars="200"/>
        <w:textAlignment w:val="auto"/>
        <w:rPr>
          <w:rFonts w:hint="eastAsia" w:ascii="仿宋_GB2312"/>
          <w:snapToGrid/>
          <w:kern w:val="2"/>
          <w:sz w:val="32"/>
          <w:szCs w:val="32"/>
        </w:rPr>
      </w:pPr>
      <w:r>
        <w:rPr>
          <w:rFonts w:hint="eastAsia" w:ascii="仿宋_GB2312"/>
          <w:b/>
          <w:snapToGrid w:val="0"/>
          <w:kern w:val="0"/>
          <w:sz w:val="32"/>
          <w:szCs w:val="32"/>
          <w:u w:val="none"/>
        </w:rPr>
        <w:t>第</w:t>
      </w:r>
      <w:r>
        <w:rPr>
          <w:rFonts w:hint="eastAsia" w:ascii="仿宋_GB2312"/>
          <w:b/>
          <w:snapToGrid w:val="0"/>
          <w:kern w:val="0"/>
          <w:sz w:val="32"/>
          <w:szCs w:val="32"/>
          <w:u w:val="none"/>
          <w:lang w:eastAsia="zh-CN"/>
        </w:rPr>
        <w:t>十四</w:t>
      </w:r>
      <w:r>
        <w:rPr>
          <w:rFonts w:hint="eastAsia" w:ascii="仿宋_GB2312"/>
          <w:b/>
          <w:snapToGrid w:val="0"/>
          <w:kern w:val="0"/>
          <w:sz w:val="32"/>
          <w:szCs w:val="32"/>
          <w:u w:val="none"/>
        </w:rPr>
        <w:t>条</w:t>
      </w:r>
      <w:r>
        <w:rPr>
          <w:rFonts w:hint="eastAsia" w:ascii="仿宋_GB2312"/>
          <w:b/>
          <w:snapToGrid w:val="0"/>
          <w:kern w:val="0"/>
          <w:sz w:val="32"/>
          <w:szCs w:val="32"/>
          <w:u w:val="none"/>
          <w:lang w:val="en-US" w:eastAsia="zh-CN"/>
        </w:rPr>
        <w:t xml:space="preserve"> </w:t>
      </w:r>
      <w:r>
        <w:rPr>
          <w:rFonts w:hint="eastAsia" w:ascii="仿宋_GB2312" w:hAnsi="Times New Roman" w:eastAsia="仿宋_GB2312" w:cs="Times New Roman"/>
          <w:b w:val="0"/>
          <w:bCs w:val="0"/>
          <w:sz w:val="32"/>
          <w:szCs w:val="32"/>
          <w:lang w:val="en" w:eastAsia="zh-CN"/>
        </w:rPr>
        <w:t>国债公司</w:t>
      </w:r>
      <w:r>
        <w:rPr>
          <w:rFonts w:hint="eastAsia" w:ascii="仿宋_GB2312" w:hAnsi="Times New Roman" w:eastAsia="仿宋_GB2312" w:cs="Times New Roman"/>
          <w:b w:val="0"/>
          <w:bCs w:val="0"/>
          <w:sz w:val="32"/>
          <w:szCs w:val="32"/>
          <w:lang w:val="en-US" w:eastAsia="zh-CN"/>
        </w:rPr>
        <w:t>应当严格按照储蓄国债（电子式）管理制度要求，建立健全内部</w:t>
      </w:r>
      <w:r>
        <w:rPr>
          <w:rFonts w:hint="eastAsia" w:ascii="仿宋_GB2312" w:hAnsi="Times New Roman" w:eastAsia="仿宋_GB2312" w:cs="Times New Roman"/>
          <w:b w:val="0"/>
          <w:bCs w:val="0"/>
          <w:snapToGrid/>
          <w:kern w:val="2"/>
          <w:sz w:val="32"/>
          <w:szCs w:val="32"/>
          <w:lang w:val="en-US" w:eastAsia="zh-CN"/>
        </w:rPr>
        <w:t>操作规程</w:t>
      </w:r>
      <w:r>
        <w:rPr>
          <w:rFonts w:hint="eastAsia" w:ascii="仿宋_GB2312" w:hAnsi="Times New Roman" w:eastAsia="仿宋_GB2312" w:cs="Times New Roman"/>
          <w:b w:val="0"/>
          <w:bCs w:val="0"/>
          <w:sz w:val="32"/>
          <w:szCs w:val="32"/>
          <w:lang w:val="en-US" w:eastAsia="zh-CN"/>
        </w:rPr>
        <w:t>，加强风险防范，切实按规定做好财政部</w:t>
      </w:r>
      <w:r>
        <w:rPr>
          <w:rFonts w:hint="eastAsia" w:ascii="仿宋_GB2312" w:hAnsi="Times New Roman" w:eastAsia="仿宋_GB2312" w:cs="Times New Roman"/>
          <w:b w:val="0"/>
          <w:bCs w:val="0"/>
          <w:snapToGrid/>
          <w:kern w:val="2"/>
          <w:sz w:val="32"/>
          <w:szCs w:val="32"/>
          <w:lang w:val="en-US" w:eastAsia="zh-CN"/>
        </w:rPr>
        <w:t>系统日常运营维护</w:t>
      </w:r>
      <w:r>
        <w:rPr>
          <w:rFonts w:hint="eastAsia" w:ascii="仿宋_GB2312" w:cs="Times New Roman"/>
          <w:b w:val="0"/>
          <w:bCs w:val="0"/>
          <w:snapToGrid/>
          <w:kern w:val="2"/>
          <w:sz w:val="32"/>
          <w:szCs w:val="32"/>
          <w:lang w:val="en-US" w:eastAsia="zh-CN"/>
        </w:rPr>
        <w:t>、</w:t>
      </w:r>
      <w:r>
        <w:rPr>
          <w:rFonts w:hint="eastAsia" w:ascii="仿宋_GB2312" w:cs="Times New Roman"/>
          <w:b w:val="0"/>
          <w:bCs w:val="0"/>
          <w:sz w:val="32"/>
          <w:szCs w:val="32"/>
          <w:lang w:val="en-US" w:eastAsia="zh-CN"/>
        </w:rPr>
        <w:t>储蓄国债（电子式）发行额度监测、每日业务数据传输、对账等工作，</w:t>
      </w:r>
      <w:r>
        <w:rPr>
          <w:rFonts w:hint="eastAsia" w:ascii="仿宋_GB2312" w:hAnsi="Times New Roman" w:eastAsia="仿宋_GB2312" w:cs="Times New Roman"/>
          <w:b w:val="0"/>
          <w:bCs w:val="0"/>
          <w:snapToGrid/>
          <w:kern w:val="2"/>
          <w:sz w:val="32"/>
          <w:szCs w:val="32"/>
          <w:lang w:val="en-US" w:eastAsia="zh-CN"/>
        </w:rPr>
        <w:t>如遇系统异常，立即向</w:t>
      </w:r>
      <w:r>
        <w:rPr>
          <w:rFonts w:hint="eastAsia" w:ascii="仿宋_GB2312" w:cs="Times New Roman"/>
          <w:b w:val="0"/>
          <w:bCs w:val="0"/>
          <w:snapToGrid/>
          <w:kern w:val="2"/>
          <w:sz w:val="32"/>
          <w:szCs w:val="32"/>
          <w:lang w:val="en-US" w:eastAsia="zh-CN"/>
        </w:rPr>
        <w:t>财政</w:t>
      </w:r>
      <w:r>
        <w:rPr>
          <w:rFonts w:hint="eastAsia" w:ascii="仿宋_GB2312" w:hAnsi="Times New Roman" w:eastAsia="仿宋_GB2312" w:cs="Times New Roman"/>
          <w:b w:val="0"/>
          <w:bCs w:val="0"/>
          <w:snapToGrid/>
          <w:kern w:val="2"/>
          <w:sz w:val="32"/>
          <w:szCs w:val="32"/>
          <w:lang w:val="en-US" w:eastAsia="zh-CN"/>
        </w:rPr>
        <w:t>部报告，并积极配合</w:t>
      </w:r>
      <w:r>
        <w:rPr>
          <w:rFonts w:hint="eastAsia" w:ascii="仿宋_GB2312" w:cs="Times New Roman"/>
          <w:b w:val="0"/>
          <w:bCs w:val="0"/>
          <w:snapToGrid/>
          <w:kern w:val="2"/>
          <w:sz w:val="32"/>
          <w:szCs w:val="32"/>
          <w:lang w:val="en-US" w:eastAsia="zh-CN"/>
        </w:rPr>
        <w:t>财政</w:t>
      </w:r>
      <w:r>
        <w:rPr>
          <w:rFonts w:hint="eastAsia" w:ascii="仿宋_GB2312" w:hAnsi="Times New Roman" w:eastAsia="仿宋_GB2312" w:cs="Times New Roman"/>
          <w:b w:val="0"/>
          <w:bCs w:val="0"/>
          <w:snapToGrid/>
          <w:kern w:val="2"/>
          <w:sz w:val="32"/>
          <w:szCs w:val="32"/>
          <w:lang w:val="en-US" w:eastAsia="zh-CN"/>
        </w:rPr>
        <w:t>部处理</w:t>
      </w:r>
      <w:r>
        <w:rPr>
          <w:rFonts w:hint="eastAsia" w:ascii="仿宋_GB2312" w:hAnsi="Times New Roman" w:eastAsia="仿宋_GB2312" w:cs="Times New Roman"/>
          <w:b w:val="0"/>
          <w:bCs w:val="0"/>
          <w:sz w:val="32"/>
          <w:szCs w:val="32"/>
          <w:lang w:val="en-US" w:eastAsia="zh-CN"/>
        </w:rPr>
        <w:t>。</w:t>
      </w:r>
    </w:p>
    <w:p>
      <w:pPr>
        <w:keepNext w:val="0"/>
        <w:keepLines w:val="0"/>
        <w:pageBreakBefore w:val="0"/>
        <w:kinsoku/>
        <w:wordWrap/>
        <w:overflowPunct/>
        <w:topLinePunct w:val="0"/>
        <w:autoSpaceDE/>
        <w:autoSpaceDN/>
        <w:bidi w:val="0"/>
        <w:adjustRightInd w:val="0"/>
        <w:snapToGrid w:val="0"/>
        <w:spacing w:line="360" w:lineRule="auto"/>
        <w:ind w:firstLine="642" w:firstLineChars="200"/>
        <w:textAlignment w:val="auto"/>
        <w:rPr>
          <w:rFonts w:ascii="仿宋_GB2312"/>
          <w:b/>
          <w:snapToGrid w:val="0"/>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黑体" w:eastAsia="黑体"/>
          <w:sz w:val="32"/>
          <w:szCs w:val="32"/>
        </w:rPr>
      </w:pPr>
      <w:r>
        <w:rPr>
          <w:rFonts w:hint="eastAsia" w:ascii="黑体" w:eastAsia="黑体"/>
          <w:sz w:val="32"/>
          <w:szCs w:val="32"/>
        </w:rPr>
        <w:t>第三章 储蓄国债（凭证式）发行额度管理</w:t>
      </w:r>
    </w:p>
    <w:p>
      <w:pPr>
        <w:keepNext w:val="0"/>
        <w:keepLines w:val="0"/>
        <w:pageBreakBefore w:val="0"/>
        <w:kinsoku/>
        <w:wordWrap/>
        <w:overflowPunct/>
        <w:topLinePunct w:val="0"/>
        <w:autoSpaceDE/>
        <w:autoSpaceDN/>
        <w:bidi w:val="0"/>
        <w:adjustRightInd w:val="0"/>
        <w:snapToGrid w:val="0"/>
        <w:spacing w:line="360" w:lineRule="auto"/>
        <w:ind w:firstLine="642" w:firstLineChars="200"/>
        <w:textAlignment w:val="auto"/>
        <w:rPr>
          <w:rFonts w:ascii="仿宋_GB2312"/>
          <w:sz w:val="32"/>
          <w:szCs w:val="32"/>
          <w:u w:val="none"/>
        </w:rPr>
      </w:pPr>
      <w:r>
        <w:rPr>
          <w:rFonts w:hint="eastAsia" w:ascii="仿宋_GB2312"/>
          <w:b/>
          <w:snapToGrid w:val="0"/>
          <w:kern w:val="0"/>
          <w:sz w:val="32"/>
          <w:szCs w:val="32"/>
          <w:u w:val="none"/>
        </w:rPr>
        <w:t>第</w:t>
      </w:r>
      <w:r>
        <w:rPr>
          <w:rFonts w:hint="eastAsia" w:ascii="仿宋_GB2312"/>
          <w:b/>
          <w:snapToGrid w:val="0"/>
          <w:kern w:val="0"/>
          <w:sz w:val="32"/>
          <w:szCs w:val="32"/>
          <w:u w:val="none"/>
          <w:lang w:eastAsia="zh-CN"/>
        </w:rPr>
        <w:t>十五</w:t>
      </w:r>
      <w:r>
        <w:rPr>
          <w:rFonts w:hint="eastAsia" w:ascii="仿宋_GB2312"/>
          <w:b/>
          <w:snapToGrid w:val="0"/>
          <w:kern w:val="0"/>
          <w:sz w:val="32"/>
          <w:szCs w:val="32"/>
          <w:u w:val="none"/>
        </w:rPr>
        <w:t>条</w:t>
      </w:r>
      <w:r>
        <w:rPr>
          <w:rFonts w:hint="eastAsia" w:ascii="仿宋_GB2312"/>
          <w:snapToGrid w:val="0"/>
          <w:kern w:val="0"/>
          <w:sz w:val="32"/>
          <w:szCs w:val="32"/>
          <w:u w:val="none"/>
          <w:lang w:val="en-US" w:eastAsia="zh-CN"/>
        </w:rPr>
        <w:t xml:space="preserve"> </w:t>
      </w:r>
      <w:r>
        <w:rPr>
          <w:rFonts w:hint="eastAsia" w:ascii="仿宋_GB2312"/>
          <w:sz w:val="32"/>
          <w:szCs w:val="32"/>
          <w:u w:val="none"/>
        </w:rPr>
        <w:t>发行开始前，财政部会同</w:t>
      </w:r>
      <w:r>
        <w:rPr>
          <w:rFonts w:hint="default" w:ascii="仿宋_GB2312"/>
          <w:sz w:val="32"/>
          <w:szCs w:val="32"/>
          <w:u w:val="none"/>
          <w:lang w:val="en"/>
        </w:rPr>
        <w:t>人民银行</w:t>
      </w:r>
      <w:r>
        <w:rPr>
          <w:rFonts w:hint="eastAsia" w:ascii="仿宋_GB2312"/>
          <w:sz w:val="32"/>
          <w:szCs w:val="32"/>
          <w:u w:val="none"/>
        </w:rPr>
        <w:t>将当期储蓄国债（凭证式）</w:t>
      </w:r>
      <w:r>
        <w:rPr>
          <w:rFonts w:hint="eastAsia" w:ascii="仿宋_GB2312"/>
          <w:sz w:val="32"/>
          <w:szCs w:val="32"/>
          <w:u w:val="none"/>
          <w:lang w:eastAsia="zh-CN"/>
        </w:rPr>
        <w:t>计划</w:t>
      </w:r>
      <w:r>
        <w:rPr>
          <w:rFonts w:hint="eastAsia" w:ascii="仿宋_GB2312"/>
          <w:sz w:val="32"/>
          <w:szCs w:val="32"/>
          <w:u w:val="none"/>
        </w:rPr>
        <w:t>最大发行额按发行通知中规定的代销额度分配比例分配给承销团成员。</w:t>
      </w:r>
    </w:p>
    <w:p>
      <w:pPr>
        <w:keepNext w:val="0"/>
        <w:keepLines w:val="0"/>
        <w:pageBreakBefore w:val="0"/>
        <w:kinsoku/>
        <w:wordWrap/>
        <w:overflowPunct/>
        <w:topLinePunct w:val="0"/>
        <w:autoSpaceDE/>
        <w:autoSpaceDN/>
        <w:bidi w:val="0"/>
        <w:adjustRightInd w:val="0"/>
        <w:snapToGrid w:val="0"/>
        <w:spacing w:line="360" w:lineRule="auto"/>
        <w:ind w:firstLine="642" w:firstLineChars="200"/>
        <w:textAlignment w:val="auto"/>
        <w:rPr>
          <w:rFonts w:ascii="仿宋_GB2312"/>
          <w:snapToGrid w:val="0"/>
          <w:kern w:val="0"/>
          <w:sz w:val="32"/>
          <w:szCs w:val="32"/>
        </w:rPr>
      </w:pPr>
      <w:r>
        <w:rPr>
          <w:rFonts w:hint="eastAsia" w:ascii="仿宋_GB2312"/>
          <w:b/>
          <w:snapToGrid w:val="0"/>
          <w:kern w:val="0"/>
          <w:sz w:val="32"/>
          <w:szCs w:val="32"/>
          <w:u w:val="none"/>
        </w:rPr>
        <w:t>第</w:t>
      </w:r>
      <w:r>
        <w:rPr>
          <w:rFonts w:hint="eastAsia" w:ascii="仿宋_GB2312"/>
          <w:b/>
          <w:snapToGrid w:val="0"/>
          <w:kern w:val="0"/>
          <w:sz w:val="32"/>
          <w:szCs w:val="32"/>
          <w:u w:val="none"/>
          <w:lang w:eastAsia="zh-CN"/>
        </w:rPr>
        <w:t>十六</w:t>
      </w:r>
      <w:r>
        <w:rPr>
          <w:rFonts w:hint="eastAsia" w:ascii="仿宋_GB2312"/>
          <w:b/>
          <w:snapToGrid w:val="0"/>
          <w:kern w:val="0"/>
          <w:sz w:val="32"/>
          <w:szCs w:val="32"/>
        </w:rPr>
        <w:t>条</w:t>
      </w:r>
      <w:r>
        <w:rPr>
          <w:rFonts w:hint="eastAsia" w:ascii="仿宋_GB2312"/>
          <w:snapToGrid w:val="0"/>
          <w:kern w:val="0"/>
          <w:sz w:val="32"/>
          <w:szCs w:val="32"/>
          <w:lang w:val="en-US" w:eastAsia="zh-CN"/>
        </w:rPr>
        <w:t xml:space="preserve"> </w:t>
      </w:r>
      <w:r>
        <w:rPr>
          <w:rFonts w:hint="eastAsia" w:ascii="仿宋_GB2312"/>
          <w:snapToGrid w:val="0"/>
          <w:kern w:val="0"/>
          <w:sz w:val="32"/>
          <w:szCs w:val="32"/>
        </w:rPr>
        <w:t>财政部会同</w:t>
      </w:r>
      <w:r>
        <w:rPr>
          <w:rFonts w:hint="default" w:ascii="仿宋_GB2312"/>
          <w:snapToGrid w:val="0"/>
          <w:kern w:val="0"/>
          <w:sz w:val="32"/>
          <w:szCs w:val="32"/>
          <w:lang w:val="en"/>
        </w:rPr>
        <w:t>人民银行</w:t>
      </w:r>
      <w:r>
        <w:rPr>
          <w:rFonts w:hint="eastAsia" w:ascii="仿宋_GB2312"/>
          <w:snapToGrid w:val="0"/>
          <w:kern w:val="0"/>
          <w:sz w:val="32"/>
          <w:szCs w:val="32"/>
        </w:rPr>
        <w:t>以季度为周期，调整各承销团成员储蓄国债（凭证式）代销额度比例</w:t>
      </w:r>
      <w:r>
        <w:rPr>
          <w:rFonts w:hint="eastAsia" w:ascii="仿宋_GB2312"/>
          <w:snapToGrid w:val="0"/>
          <w:kern w:val="0"/>
          <w:sz w:val="32"/>
          <w:szCs w:val="32"/>
          <w:lang w:eastAsia="zh-CN"/>
        </w:rPr>
        <w:t>，并在</w:t>
      </w:r>
      <w:r>
        <w:rPr>
          <w:rFonts w:hint="eastAsia" w:ascii="仿宋_GB2312"/>
          <w:snapToGrid w:val="0"/>
          <w:kern w:val="0"/>
          <w:sz w:val="32"/>
          <w:szCs w:val="32"/>
        </w:rPr>
        <w:t>每季度首期储蓄国债（凭证式）发行通知中公布。储蓄国债（凭证式）代销额度比例</w:t>
      </w:r>
      <w:r>
        <w:rPr>
          <w:rFonts w:hint="eastAsia" w:ascii="仿宋_GB2312"/>
          <w:snapToGrid w:val="0"/>
          <w:kern w:val="0"/>
          <w:sz w:val="32"/>
          <w:szCs w:val="32"/>
          <w:lang w:eastAsia="zh-CN"/>
        </w:rPr>
        <w:t>计算和</w:t>
      </w:r>
      <w:r>
        <w:rPr>
          <w:rFonts w:hint="eastAsia" w:ascii="仿宋_GB2312"/>
          <w:snapToGrid w:val="0"/>
          <w:kern w:val="0"/>
          <w:sz w:val="32"/>
          <w:szCs w:val="32"/>
        </w:rPr>
        <w:t>调整方法为：</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snapToGrid w:val="0"/>
          <w:kern w:val="0"/>
          <w:sz w:val="32"/>
          <w:szCs w:val="32"/>
          <w:lang w:eastAsia="zh-CN"/>
        </w:rPr>
      </w:pPr>
      <w:r>
        <w:rPr>
          <w:rFonts w:hint="eastAsia" w:ascii="仿宋_GB2312"/>
          <w:snapToGrid w:val="0"/>
          <w:kern w:val="0"/>
          <w:sz w:val="32"/>
          <w:szCs w:val="32"/>
        </w:rPr>
        <w:t>（一）</w:t>
      </w:r>
      <w:r>
        <w:rPr>
          <w:rFonts w:hint="eastAsia" w:ascii="仿宋_GB2312"/>
          <w:snapToGrid w:val="0"/>
          <w:kern w:val="0"/>
          <w:sz w:val="32"/>
          <w:szCs w:val="32"/>
          <w:lang w:eastAsia="zh-CN"/>
        </w:rPr>
        <w:t>计算</w:t>
      </w:r>
      <w:r>
        <w:rPr>
          <w:rFonts w:hint="eastAsia" w:ascii="仿宋_GB2312"/>
          <w:snapToGrid w:val="0"/>
          <w:kern w:val="0"/>
          <w:sz w:val="32"/>
          <w:szCs w:val="32"/>
        </w:rPr>
        <w:t>新成员首季度代销额度比例</w:t>
      </w:r>
      <w:r>
        <w:rPr>
          <w:rFonts w:hint="eastAsia" w:ascii="仿宋_GB2312"/>
          <w:snapToGrid w:val="0"/>
          <w:kern w:val="0"/>
          <w:sz w:val="32"/>
          <w:szCs w:val="32"/>
          <w:lang w:eastAsia="zh-CN"/>
        </w:rPr>
        <w:t>：</w:t>
      </w:r>
    </w:p>
    <w:p>
      <w:pPr>
        <w:keepNext w:val="0"/>
        <w:keepLines w:val="0"/>
        <w:pageBreakBefore w:val="0"/>
        <w:kinsoku/>
        <w:wordWrap/>
        <w:overflowPunct/>
        <w:topLinePunct w:val="0"/>
        <w:autoSpaceDE/>
        <w:autoSpaceDN/>
        <w:bidi w:val="0"/>
        <w:adjustRightInd w:val="0"/>
        <w:snapToGrid w:val="0"/>
        <w:spacing w:line="360" w:lineRule="auto"/>
        <w:ind w:firstLine="0" w:firstLineChars="0"/>
        <w:textAlignment w:val="auto"/>
        <w:rPr>
          <w:rFonts w:hint="eastAsia" w:ascii="仿宋_GB2312"/>
          <w:snapToGrid w:val="0"/>
          <w:kern w:val="0"/>
          <w:sz w:val="32"/>
          <w:szCs w:val="32"/>
          <w:lang w:eastAsia="zh-CN"/>
        </w:rPr>
      </w:pPr>
      <m:oMathPara>
        <m:oMathParaPr>
          <m:jc m:val="center"/>
        </m:oMathParaPr>
        <m:oMath>
          <m:r>
            <m:rPr>
              <m:sty m:val="p"/>
            </m:rPr>
            <w:rPr>
              <w:rFonts w:hint="eastAsia" w:ascii="DejaVu Math TeX Gyre" w:hAnsi="DejaVu Math TeX Gyre"/>
              <w:snapToGrid w:val="0"/>
              <w:kern w:val="0"/>
              <w:sz w:val="21"/>
              <w:szCs w:val="21"/>
            </w:rPr>
            <m:t>新成员首季度代销额度比例</m:t>
          </m:r>
          <m:r>
            <m:rPr>
              <m:sty m:val="p"/>
            </m:rPr>
            <w:rPr>
              <w:rFonts w:ascii="DejaVu Math TeX Gyre" w:hAnsi="DejaVu Math TeX Gyre"/>
              <w:snapToGrid w:val="0"/>
              <w:kern w:val="0"/>
              <w:sz w:val="21"/>
              <w:szCs w:val="21"/>
            </w:rPr>
            <m:t>=</m:t>
          </m:r>
          <m:nary>
            <m:naryPr>
              <m:chr m:val="∑"/>
              <m:limLoc m:val="undOvr"/>
              <m:subHide m:val="true"/>
              <m:supHide m:val="true"/>
              <m:ctrlPr>
                <w:rPr>
                  <w:rFonts w:ascii="DejaVu Math TeX Gyre" w:hAnsi="DejaVu Math TeX Gyre"/>
                  <w:snapToGrid w:val="0"/>
                  <w:kern w:val="0"/>
                  <w:sz w:val="21"/>
                  <w:szCs w:val="21"/>
                </w:rPr>
              </m:ctrlPr>
            </m:naryPr>
            <m:sub>
              <m:ctrlPr>
                <w:rPr>
                  <w:rFonts w:ascii="DejaVu Math TeX Gyre" w:hAnsi="DejaVu Math TeX Gyre"/>
                  <w:snapToGrid w:val="0"/>
                  <w:kern w:val="0"/>
                  <w:sz w:val="21"/>
                  <w:szCs w:val="21"/>
                </w:rPr>
              </m:ctrlPr>
            </m:sub>
            <m:sup>
              <m:ctrlPr>
                <w:rPr>
                  <w:rFonts w:ascii="DejaVu Math TeX Gyre" w:hAnsi="DejaVu Math TeX Gyre"/>
                  <w:snapToGrid w:val="0"/>
                  <w:kern w:val="0"/>
                  <w:sz w:val="21"/>
                  <w:szCs w:val="21"/>
                </w:rPr>
              </m:ctrlPr>
            </m:sup>
            <m:e>
              <m:eqArr>
                <m:eqArrPr>
                  <m:ctrlPr>
                    <w:rPr>
                      <w:rFonts w:hint="eastAsia" w:ascii="DejaVu Math TeX Gyre" w:hAnsi="DejaVu Math TeX Gyre"/>
                      <w:snapToGrid w:val="0"/>
                      <w:kern w:val="0"/>
                      <w:sz w:val="21"/>
                      <w:szCs w:val="21"/>
                      <w:lang w:eastAsia="zh-CN"/>
                    </w:rPr>
                  </m:ctrlPr>
                </m:eqArrPr>
                <m:e>
                  <m:r>
                    <m:rPr>
                      <m:sty m:val="p"/>
                    </m:rPr>
                    <w:rPr>
                      <w:rFonts w:hint="eastAsia" w:ascii="DejaVu Math TeX Gyre" w:hAnsi="DejaVu Math TeX Gyre"/>
                      <w:snapToGrid w:val="0"/>
                      <w:kern w:val="0"/>
                      <w:sz w:val="21"/>
                      <w:szCs w:val="21"/>
                      <w:lang w:eastAsia="zh-CN"/>
                    </w:rPr>
                    <m:t>退出承销团成员上一季度</m:t>
                  </m:r>
                  <m:ctrlPr>
                    <w:rPr>
                      <w:rFonts w:hint="eastAsia" w:ascii="DejaVu Math TeX Gyre" w:hAnsi="DejaVu Math TeX Gyre"/>
                      <w:snapToGrid w:val="0"/>
                      <w:kern w:val="0"/>
                      <w:sz w:val="21"/>
                      <w:szCs w:val="21"/>
                      <w:lang w:eastAsia="zh-CN"/>
                    </w:rPr>
                  </m:ctrlPr>
                </m:e>
                <m:e>
                  <m:r>
                    <m:rPr>
                      <m:sty m:val="p"/>
                    </m:rPr>
                    <w:rPr>
                      <w:rFonts w:hint="eastAsia" w:ascii="DejaVu Math TeX Gyre" w:hAnsi="DejaVu Math TeX Gyre"/>
                      <w:snapToGrid w:val="0"/>
                      <w:kern w:val="0"/>
                      <w:sz w:val="21"/>
                      <w:szCs w:val="21"/>
                      <w:lang w:eastAsia="zh-CN"/>
                    </w:rPr>
                    <m:t>代销额度比例</m:t>
                  </m:r>
                  <m:ctrlPr>
                    <w:rPr>
                      <w:rFonts w:ascii="DejaVu Math TeX Gyre" w:hAnsi="DejaVu Math TeX Gyre"/>
                      <w:snapToGrid w:val="0"/>
                      <w:kern w:val="0"/>
                      <w:sz w:val="21"/>
                      <w:szCs w:val="21"/>
                    </w:rPr>
                  </m:ctrlPr>
                </m:e>
              </m:eqArr>
              <m:r>
                <m:rPr>
                  <m:sty m:val="p"/>
                </m:rPr>
                <w:rPr>
                  <w:rFonts w:ascii="DejaVu Math TeX Gyre" w:hAnsi="DejaVu Math TeX Gyre"/>
                  <w:snapToGrid w:val="0"/>
                  <w:kern w:val="0"/>
                  <w:sz w:val="21"/>
                  <w:szCs w:val="21"/>
                </w:rPr>
                <m:t>÷</m:t>
              </m:r>
              <m:r>
                <m:rPr>
                  <m:sty m:val="p"/>
                </m:rPr>
                <w:rPr>
                  <w:rFonts w:hint="eastAsia" w:ascii="DejaVu Math TeX Gyre" w:hAnsi="DejaVu Math TeX Gyre"/>
                  <w:snapToGrid w:val="0"/>
                  <w:kern w:val="0"/>
                  <w:sz w:val="21"/>
                  <w:szCs w:val="21"/>
                  <w:lang w:eastAsia="zh-CN"/>
                </w:rPr>
                <m:t>新成员数量</m:t>
              </m:r>
              <m:ctrlPr>
                <w:rPr>
                  <w:rFonts w:hint="eastAsia" w:ascii="DejaVu Math TeX Gyre" w:hAnsi="DejaVu Math TeX Gyre"/>
                  <w:snapToGrid w:val="0"/>
                  <w:kern w:val="0"/>
                  <w:sz w:val="21"/>
                  <w:szCs w:val="21"/>
                  <w:lang w:eastAsia="zh-CN"/>
                </w:rPr>
              </m:ctrlPr>
            </m:e>
          </m:nary>
        </m:oMath>
      </m:oMathPara>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snapToGrid w:val="0"/>
          <w:kern w:val="0"/>
          <w:sz w:val="32"/>
          <w:szCs w:val="32"/>
          <w:lang w:eastAsia="zh-CN"/>
        </w:rPr>
      </w:pPr>
      <w:r>
        <w:rPr>
          <w:rFonts w:hint="eastAsia" w:ascii="仿宋_GB2312"/>
          <w:snapToGrid w:val="0"/>
          <w:kern w:val="0"/>
          <w:sz w:val="32"/>
          <w:szCs w:val="32"/>
          <w:lang w:eastAsia="zh-CN"/>
        </w:rPr>
        <w:t>（二）计算其他承销团成员代销额度比例：</w:t>
      </w:r>
    </w:p>
    <w:p>
      <w:pPr>
        <w:keepNext w:val="0"/>
        <w:keepLines w:val="0"/>
        <w:pageBreakBefore w:val="0"/>
        <w:kinsoku/>
        <w:wordWrap/>
        <w:overflowPunct/>
        <w:topLinePunct w:val="0"/>
        <w:autoSpaceDE/>
        <w:autoSpaceDN/>
        <w:bidi w:val="0"/>
        <w:adjustRightInd w:val="0"/>
        <w:snapToGrid w:val="0"/>
        <w:spacing w:line="360" w:lineRule="auto"/>
        <w:ind w:left="0" w:firstLine="420" w:firstLineChars="200"/>
        <w:jc w:val="left"/>
        <w:textAlignment w:val="auto"/>
        <w:rPr>
          <w:rFonts w:hint="eastAsia" w:hAnsi="DejaVu Math TeX Gyre" w:cs="Times New Roman"/>
          <w:i w:val="0"/>
          <w:snapToGrid w:val="0"/>
          <w:kern w:val="0"/>
          <w:position w:val="-60"/>
          <w:sz w:val="21"/>
          <w:szCs w:val="21"/>
          <w:lang w:val="en-US" w:eastAsia="zh-CN" w:bidi="ar-SA"/>
        </w:rPr>
      </w:pPr>
      <m:oMathPara>
        <m:oMathParaPr>
          <m:jc m:val="left"/>
        </m:oMathParaPr>
        <m:oMath>
          <m:r>
            <m:rPr>
              <m:sty m:val="p"/>
            </m:rPr>
            <w:rPr>
              <w:rFonts w:hint="eastAsia" w:ascii="DejaVu Math TeX Gyre" w:hAnsi="DejaVu Math TeX Gyre" w:cs="仿宋_GB2312"/>
              <w:snapToGrid w:val="0"/>
              <w:kern w:val="0"/>
              <w:sz w:val="21"/>
              <w:szCs w:val="21"/>
              <w:lang w:val="en-US" w:eastAsia="zh-CN" w:bidi="ar-SA"/>
            </w:rPr>
            <m:t>某承销团成员新代销额度比例</m:t>
          </m:r>
          <m:r>
            <m:rPr>
              <m:sty m:val="p"/>
            </m:rPr>
            <w:rPr>
              <w:rFonts w:hint="eastAsia" w:ascii="DejaVu Math TeX Gyre" w:hAnsi="DejaVu Math TeX Gyre" w:cs="仿宋_GB2312"/>
              <w:snapToGrid w:val="0"/>
              <w:kern w:val="0"/>
              <w:sz w:val="21"/>
              <w:szCs w:val="21"/>
              <w:lang w:val="en" w:eastAsia="zh-CN" w:bidi="ar-SA"/>
            </w:rPr>
            <m:t>=</m:t>
          </m:r>
          <m:f>
            <m:fPr>
              <m:ctrlPr>
                <w:rPr>
                  <w:rFonts w:hint="eastAsia" w:ascii="DejaVu Math TeX Gyre" w:hAnsi="DejaVu Math TeX Gyre" w:cs="仿宋_GB2312"/>
                  <w:b w:val="0"/>
                  <w:i w:val="0"/>
                  <w:snapToGrid w:val="0"/>
                  <w:kern w:val="0"/>
                  <w:sz w:val="21"/>
                  <w:szCs w:val="21"/>
                  <w:lang w:val="en" w:eastAsia="zh-CN" w:bidi="ar-SA"/>
                </w:rPr>
              </m:ctrlPr>
            </m:fPr>
            <m:num>
              <m:nary>
                <m:naryPr>
                  <m:chr m:val="∑"/>
                  <m:limLoc m:val="undOvr"/>
                  <m:subHide m:val="true"/>
                  <m:supHide m:val="true"/>
                  <m:ctrlPr>
                    <w:rPr>
                      <w:rFonts w:hint="eastAsia" w:ascii="DejaVu Math TeX Gyre" w:hAnsi="DejaVu Math TeX Gyre" w:cs="仿宋_GB2312"/>
                      <w:b w:val="0"/>
                      <w:i w:val="0"/>
                      <w:snapToGrid w:val="0"/>
                      <w:kern w:val="0"/>
                      <w:sz w:val="21"/>
                      <w:szCs w:val="21"/>
                      <w:lang w:val="en" w:eastAsia="zh-CN" w:bidi="ar-SA"/>
                    </w:rPr>
                  </m:ctrlPr>
                </m:naryPr>
                <m:sub>
                  <m:ctrlPr>
                    <w:rPr>
                      <w:rFonts w:hint="eastAsia" w:ascii="DejaVu Math TeX Gyre" w:hAnsi="DejaVu Math TeX Gyre" w:cs="仿宋_GB2312"/>
                      <w:b w:val="0"/>
                      <w:i w:val="0"/>
                      <w:snapToGrid w:val="0"/>
                      <w:kern w:val="0"/>
                      <w:sz w:val="21"/>
                      <w:szCs w:val="21"/>
                      <w:lang w:val="en" w:eastAsia="zh-CN" w:bidi="ar-SA"/>
                    </w:rPr>
                  </m:ctrlPr>
                </m:sub>
                <m:sup>
                  <m:ctrlPr>
                    <w:rPr>
                      <w:rFonts w:hint="eastAsia" w:ascii="DejaVu Math TeX Gyre" w:hAnsi="DejaVu Math TeX Gyre" w:cs="仿宋_GB2312"/>
                      <w:b w:val="0"/>
                      <w:i w:val="0"/>
                      <w:snapToGrid w:val="0"/>
                      <w:kern w:val="0"/>
                      <w:sz w:val="21"/>
                      <w:szCs w:val="21"/>
                      <w:lang w:val="en" w:eastAsia="zh-CN" w:bidi="ar-SA"/>
                    </w:rPr>
                  </m:ctrlPr>
                </m:sup>
                <m:e>
                  <m:eqArr>
                    <m:eqArrPr>
                      <m:ctrlPr>
                        <w:rPr>
                          <w:rFonts w:hint="eastAsia" w:ascii="DejaVu Math TeX Gyre" w:hAnsi="DejaVu Math TeX Gyre" w:cs="仿宋_GB2312"/>
                          <w:b w:val="0"/>
                          <w:i w:val="0"/>
                          <w:snapToGrid w:val="0"/>
                          <w:kern w:val="0"/>
                          <w:sz w:val="21"/>
                          <w:szCs w:val="21"/>
                          <w:lang w:val="en" w:eastAsia="zh-CN" w:bidi="ar-SA"/>
                        </w:rPr>
                      </m:ctrlPr>
                    </m:eqArrPr>
                    <m:e>
                      <m:r>
                        <m:rPr>
                          <m:sty m:val="p"/>
                        </m:rPr>
                        <w:rPr>
                          <w:rFonts w:hint="eastAsia" w:ascii="DejaVu Math TeX Gyre" w:hAnsi="DejaVu Math TeX Gyre" w:cs="仿宋_GB2312"/>
                          <w:snapToGrid w:val="0"/>
                          <w:kern w:val="0"/>
                          <w:sz w:val="21"/>
                          <w:szCs w:val="21"/>
                          <w:lang w:val="en" w:eastAsia="zh-CN" w:bidi="ar-SA"/>
                        </w:rPr>
                        <m:t>其上一季度各期储蓄</m:t>
                      </m:r>
                      <m:ctrlPr>
                        <w:rPr>
                          <w:rFonts w:hint="eastAsia" w:ascii="DejaVu Math TeX Gyre" w:hAnsi="DejaVu Math TeX Gyre" w:cs="仿宋_GB2312"/>
                          <w:b w:val="0"/>
                          <w:i w:val="0"/>
                          <w:snapToGrid w:val="0"/>
                          <w:kern w:val="0"/>
                          <w:sz w:val="21"/>
                          <w:szCs w:val="21"/>
                          <w:lang w:val="en" w:eastAsia="zh-CN" w:bidi="ar-SA"/>
                        </w:rPr>
                      </m:ctrlPr>
                    </m:e>
                    <m:e>
                      <m:r>
                        <m:rPr>
                          <m:sty m:val="p"/>
                        </m:rPr>
                        <w:rPr>
                          <w:rFonts w:hint="eastAsia" w:ascii="DejaVu Math TeX Gyre" w:hAnsi="DejaVu Math TeX Gyre" w:cs="仿宋_GB2312"/>
                          <w:snapToGrid w:val="0"/>
                          <w:kern w:val="0"/>
                          <w:sz w:val="21"/>
                          <w:szCs w:val="21"/>
                          <w:lang w:val="en" w:eastAsia="zh-CN" w:bidi="ar-SA"/>
                        </w:rPr>
                        <m:t>国债（凭证式）销售量</m:t>
                      </m:r>
                      <m:ctrlPr>
                        <w:rPr>
                          <w:rFonts w:hint="eastAsia" w:ascii="DejaVu Math TeX Gyre" w:hAnsi="DejaVu Math TeX Gyre" w:cs="仿宋_GB2312"/>
                          <w:b w:val="0"/>
                          <w:i w:val="0"/>
                          <w:snapToGrid w:val="0"/>
                          <w:kern w:val="0"/>
                          <w:sz w:val="21"/>
                          <w:szCs w:val="21"/>
                          <w:lang w:val="en" w:eastAsia="zh-CN" w:bidi="ar-SA"/>
                        </w:rPr>
                      </m:ctrlPr>
                    </m:e>
                  </m:eqArr>
                  <m:ctrlPr>
                    <w:rPr>
                      <w:rFonts w:hint="eastAsia" w:ascii="DejaVu Math TeX Gyre" w:hAnsi="DejaVu Math TeX Gyre" w:cs="仿宋_GB2312"/>
                      <w:b w:val="0"/>
                      <w:i w:val="0"/>
                      <w:snapToGrid w:val="0"/>
                      <w:kern w:val="0"/>
                      <w:sz w:val="21"/>
                      <w:szCs w:val="21"/>
                      <w:lang w:val="en" w:eastAsia="zh-CN" w:bidi="ar-SA"/>
                    </w:rPr>
                  </m:ctrlPr>
                </m:e>
              </m:nary>
              <m:ctrlPr>
                <w:rPr>
                  <w:rFonts w:hint="eastAsia" w:ascii="DejaVu Math TeX Gyre" w:hAnsi="DejaVu Math TeX Gyre" w:cs="仿宋_GB2312"/>
                  <w:b w:val="0"/>
                  <w:i w:val="0"/>
                  <w:snapToGrid w:val="0"/>
                  <w:kern w:val="0"/>
                  <w:sz w:val="21"/>
                  <w:szCs w:val="21"/>
                  <w:lang w:val="en" w:eastAsia="zh-CN" w:bidi="ar-SA"/>
                </w:rPr>
              </m:ctrlPr>
            </m:num>
            <m:den>
              <m:nary>
                <m:naryPr>
                  <m:chr m:val="∑"/>
                  <m:limLoc m:val="undOvr"/>
                  <m:subHide m:val="true"/>
                  <m:supHide m:val="true"/>
                  <m:ctrlPr>
                    <w:rPr>
                      <w:rFonts w:hint="eastAsia" w:ascii="DejaVu Math TeX Gyre" w:hAnsi="DejaVu Math TeX Gyre" w:cs="仿宋_GB2312"/>
                      <w:b w:val="0"/>
                      <w:i w:val="0"/>
                      <w:snapToGrid w:val="0"/>
                      <w:kern w:val="0"/>
                      <w:sz w:val="21"/>
                      <w:szCs w:val="21"/>
                      <w:lang w:val="en" w:eastAsia="zh-CN" w:bidi="ar-SA"/>
                    </w:rPr>
                  </m:ctrlPr>
                </m:naryPr>
                <m:sub>
                  <m:ctrlPr>
                    <w:rPr>
                      <w:rFonts w:hint="eastAsia" w:ascii="DejaVu Math TeX Gyre" w:hAnsi="DejaVu Math TeX Gyre" w:cs="仿宋_GB2312"/>
                      <w:b w:val="0"/>
                      <w:i w:val="0"/>
                      <w:snapToGrid w:val="0"/>
                      <w:kern w:val="0"/>
                      <w:sz w:val="21"/>
                      <w:szCs w:val="21"/>
                      <w:lang w:val="en" w:eastAsia="zh-CN" w:bidi="ar-SA"/>
                    </w:rPr>
                  </m:ctrlPr>
                </m:sub>
                <m:sup>
                  <m:ctrlPr>
                    <w:rPr>
                      <w:rFonts w:hint="eastAsia" w:ascii="DejaVu Math TeX Gyre" w:hAnsi="DejaVu Math TeX Gyre" w:cs="仿宋_GB2312"/>
                      <w:b w:val="0"/>
                      <w:i w:val="0"/>
                      <w:snapToGrid w:val="0"/>
                      <w:kern w:val="0"/>
                      <w:sz w:val="21"/>
                      <w:szCs w:val="21"/>
                      <w:lang w:val="en" w:eastAsia="zh-CN" w:bidi="ar-SA"/>
                    </w:rPr>
                  </m:ctrlPr>
                </m:sup>
                <m:e>
                  <m:eqArr>
                    <m:eqArrPr>
                      <m:ctrlPr>
                        <w:rPr>
                          <w:rFonts w:hint="eastAsia" w:ascii="DejaVu Math TeX Gyre" w:hAnsi="DejaVu Math TeX Gyre" w:cs="仿宋_GB2312"/>
                          <w:b w:val="0"/>
                          <w:i w:val="0"/>
                          <w:snapToGrid w:val="0"/>
                          <w:kern w:val="0"/>
                          <w:sz w:val="21"/>
                          <w:szCs w:val="21"/>
                          <w:lang w:val="en" w:eastAsia="zh-CN" w:bidi="ar-SA"/>
                        </w:rPr>
                      </m:ctrlPr>
                    </m:eqArrPr>
                    <m:e>
                      <m:r>
                        <m:rPr>
                          <m:sty m:val="p"/>
                        </m:rPr>
                        <w:rPr>
                          <w:rFonts w:hint="eastAsia" w:ascii="DejaVu Math TeX Gyre" w:hAnsi="DejaVu Math TeX Gyre" w:cs="仿宋_GB2312"/>
                          <w:snapToGrid w:val="0"/>
                          <w:kern w:val="0"/>
                          <w:sz w:val="21"/>
                          <w:szCs w:val="21"/>
                          <w:lang w:val="en" w:eastAsia="zh-CN" w:bidi="ar-SA"/>
                        </w:rPr>
                        <m:t>参与调整的承销团成员上一季度</m:t>
                      </m:r>
                      <m:ctrlPr>
                        <w:rPr>
                          <w:rFonts w:hint="eastAsia" w:ascii="DejaVu Math TeX Gyre" w:hAnsi="DejaVu Math TeX Gyre" w:cs="仿宋_GB2312"/>
                          <w:b w:val="0"/>
                          <w:i w:val="0"/>
                          <w:snapToGrid w:val="0"/>
                          <w:kern w:val="0"/>
                          <w:sz w:val="21"/>
                          <w:szCs w:val="21"/>
                          <w:lang w:val="en" w:eastAsia="zh-CN" w:bidi="ar-SA"/>
                        </w:rPr>
                      </m:ctrlPr>
                    </m:e>
                    <m:e>
                      <m:r>
                        <m:rPr>
                          <m:sty m:val="p"/>
                        </m:rPr>
                        <w:rPr>
                          <w:rFonts w:hint="eastAsia" w:ascii="DejaVu Math TeX Gyre" w:hAnsi="DejaVu Math TeX Gyre" w:cs="仿宋_GB2312"/>
                          <w:snapToGrid w:val="0"/>
                          <w:kern w:val="0"/>
                          <w:sz w:val="21"/>
                          <w:szCs w:val="21"/>
                          <w:lang w:val="en" w:eastAsia="zh-CN" w:bidi="ar-SA"/>
                        </w:rPr>
                        <m:t>各期储蓄国债（凭证式）销售量</m:t>
                      </m:r>
                      <m:ctrlPr>
                        <w:rPr>
                          <w:rFonts w:hint="eastAsia" w:ascii="DejaVu Math TeX Gyre" w:hAnsi="DejaVu Math TeX Gyre" w:cs="仿宋_GB2312"/>
                          <w:b w:val="0"/>
                          <w:i w:val="0"/>
                          <w:snapToGrid w:val="0"/>
                          <w:kern w:val="0"/>
                          <w:sz w:val="21"/>
                          <w:szCs w:val="21"/>
                          <w:lang w:val="en" w:eastAsia="zh-CN" w:bidi="ar-SA"/>
                        </w:rPr>
                      </m:ctrlPr>
                    </m:e>
                  </m:eqArr>
                  <m:ctrlPr>
                    <w:rPr>
                      <w:rFonts w:hint="eastAsia" w:ascii="DejaVu Math TeX Gyre" w:hAnsi="DejaVu Math TeX Gyre" w:cs="仿宋_GB2312"/>
                      <w:b w:val="0"/>
                      <w:i w:val="0"/>
                      <w:snapToGrid w:val="0"/>
                      <w:kern w:val="0"/>
                      <w:sz w:val="21"/>
                      <w:szCs w:val="21"/>
                      <w:lang w:val="en" w:eastAsia="zh-CN" w:bidi="ar-SA"/>
                    </w:rPr>
                  </m:ctrlPr>
                </m:e>
              </m:nary>
              <m:ctrlPr>
                <w:rPr>
                  <w:rFonts w:hint="eastAsia" w:ascii="DejaVu Math TeX Gyre" w:hAnsi="DejaVu Math TeX Gyre" w:cs="仿宋_GB2312"/>
                  <w:b w:val="0"/>
                  <w:snapToGrid w:val="0"/>
                  <w:kern w:val="0"/>
                  <w:sz w:val="21"/>
                  <w:szCs w:val="21"/>
                  <w:lang w:val="en" w:eastAsia="zh-CN" w:bidi="ar-SA"/>
                </w:rPr>
              </m:ctrlPr>
            </m:den>
          </m:f>
          <m:r>
            <m:rPr>
              <m:sty m:val="p"/>
            </m:rPr>
            <w:rPr>
              <w:rFonts w:hint="eastAsia" w:ascii="DejaVu Math TeX Gyre" w:hAnsi="DejaVu Math TeX Gyre" w:cs="仿宋_GB2312"/>
              <w:snapToGrid w:val="0"/>
              <w:kern w:val="0"/>
              <w:sz w:val="21"/>
              <w:szCs w:val="21"/>
              <w:lang w:val="en" w:bidi="ar-SA"/>
            </w:rPr>
            <m:t>×</m:t>
          </m:r>
          <m:nary>
            <m:naryPr>
              <m:chr m:val="∑"/>
              <m:limLoc m:val="undOvr"/>
              <m:subHide m:val="true"/>
              <m:supHide m:val="true"/>
              <m:ctrlPr>
                <w:rPr>
                  <w:rFonts w:hint="eastAsia" w:ascii="DejaVu Math TeX Gyre" w:hAnsi="DejaVu Math TeX Gyre" w:cs="仿宋_GB2312"/>
                  <w:snapToGrid w:val="0"/>
                  <w:kern w:val="0"/>
                  <w:sz w:val="21"/>
                  <w:szCs w:val="21"/>
                  <w:lang w:val="en" w:bidi="ar-SA"/>
                </w:rPr>
              </m:ctrlPr>
            </m:naryPr>
            <m:sub>
              <m:ctrlPr>
                <w:rPr>
                  <w:rFonts w:hint="eastAsia" w:ascii="DejaVu Math TeX Gyre" w:hAnsi="DejaVu Math TeX Gyre" w:cs="仿宋_GB2312"/>
                  <w:snapToGrid w:val="0"/>
                  <w:kern w:val="0"/>
                  <w:sz w:val="21"/>
                  <w:szCs w:val="21"/>
                  <w:lang w:val="en" w:bidi="ar-SA"/>
                </w:rPr>
              </m:ctrlPr>
            </m:sub>
            <m:sup>
              <m:ctrlPr>
                <w:rPr>
                  <w:rFonts w:hint="eastAsia" w:ascii="DejaVu Math TeX Gyre" w:hAnsi="DejaVu Math TeX Gyre" w:cs="仿宋_GB2312"/>
                  <w:snapToGrid w:val="0"/>
                  <w:kern w:val="0"/>
                  <w:sz w:val="21"/>
                  <w:szCs w:val="21"/>
                  <w:lang w:val="en" w:bidi="ar-SA"/>
                </w:rPr>
              </m:ctrlPr>
            </m:sup>
            <m:e>
              <m:eqArr>
                <m:eqArrPr>
                  <m:ctrlPr>
                    <w:rPr>
                      <w:rFonts w:hint="eastAsia" w:ascii="DejaVu Math TeX Gyre" w:hAnsi="DejaVu Math TeX Gyre" w:cs="仿宋_GB2312"/>
                      <w:snapToGrid w:val="0"/>
                      <w:kern w:val="0"/>
                      <w:sz w:val="21"/>
                      <w:szCs w:val="21"/>
                      <w:lang w:val="en" w:eastAsia="zh-CN" w:bidi="ar-SA"/>
                    </w:rPr>
                  </m:ctrlPr>
                </m:eqArrPr>
                <m:e>
                  <m:r>
                    <m:rPr>
                      <m:sty m:val="p"/>
                    </m:rPr>
                    <w:rPr>
                      <w:rFonts w:hint="eastAsia" w:ascii="DejaVu Math TeX Gyre" w:hAnsi="DejaVu Math TeX Gyre" w:cs="仿宋_GB2312"/>
                      <w:snapToGrid w:val="0"/>
                      <w:kern w:val="0"/>
                      <w:sz w:val="21"/>
                      <w:szCs w:val="21"/>
                      <w:lang w:val="en" w:eastAsia="zh-CN" w:bidi="ar-SA"/>
                    </w:rPr>
                    <m:t>参与调整的承销团成员</m:t>
                  </m:r>
                  <m:ctrlPr>
                    <w:rPr>
                      <w:rFonts w:hint="eastAsia" w:ascii="DejaVu Math TeX Gyre" w:hAnsi="DejaVu Math TeX Gyre" w:cs="仿宋_GB2312"/>
                      <w:snapToGrid w:val="0"/>
                      <w:kern w:val="0"/>
                      <w:sz w:val="21"/>
                      <w:szCs w:val="21"/>
                      <w:lang w:val="en" w:eastAsia="zh-CN" w:bidi="ar-SA"/>
                    </w:rPr>
                  </m:ctrlPr>
                </m:e>
                <m:e>
                  <m:r>
                    <m:rPr>
                      <m:sty m:val="p"/>
                    </m:rPr>
                    <w:rPr>
                      <w:rFonts w:hint="eastAsia" w:ascii="DejaVu Math TeX Gyre" w:hAnsi="DejaVu Math TeX Gyre" w:cs="仿宋_GB2312"/>
                      <w:snapToGrid w:val="0"/>
                      <w:kern w:val="0"/>
                      <w:sz w:val="21"/>
                      <w:szCs w:val="21"/>
                      <w:lang w:val="en" w:eastAsia="zh-CN" w:bidi="ar-SA"/>
                    </w:rPr>
                    <m:t>原代销额度比例</m:t>
                  </m:r>
                  <m:ctrlPr>
                    <w:rPr>
                      <w:rFonts w:hint="eastAsia" w:ascii="DejaVu Math TeX Gyre" w:hAnsi="DejaVu Math TeX Gyre" w:cs="仿宋_GB2312"/>
                      <w:snapToGrid w:val="0"/>
                      <w:kern w:val="0"/>
                      <w:sz w:val="21"/>
                      <w:szCs w:val="21"/>
                      <w:lang w:val="en" w:bidi="ar-SA"/>
                    </w:rPr>
                  </m:ctrlPr>
                </m:e>
              </m:eqArr>
              <m:r>
                <m:rPr>
                  <m:sty m:val="p"/>
                </m:rPr>
                <w:rPr>
                  <w:rFonts w:hint="eastAsia" w:ascii="DejaVu Math TeX Gyre" w:hAnsi="DejaVu Math TeX Gyre" w:cs="仿宋_GB2312"/>
                  <w:snapToGrid w:val="0"/>
                  <w:kern w:val="0"/>
                  <w:sz w:val="21"/>
                  <w:szCs w:val="21"/>
                  <w:lang w:val="en" w:bidi="ar-SA"/>
                </w:rPr>
                <m:t>×</m:t>
              </m:r>
              <m:r>
                <m:rPr>
                  <m:sty m:val="p"/>
                </m:rPr>
                <w:rPr>
                  <w:rFonts w:hint="eastAsia" w:ascii="DejaVu Math TeX Gyre" w:hAnsi="DejaVu Math TeX Gyre" w:cs="仿宋_GB2312"/>
                  <w:snapToGrid w:val="0"/>
                  <w:kern w:val="0"/>
                  <w:sz w:val="21"/>
                  <w:szCs w:val="21"/>
                  <w:lang w:val="en-US" w:eastAsia="zh-CN" w:bidi="ar-SA"/>
                </w:rPr>
                <m:t>100%</m:t>
              </m:r>
              <m:ctrlPr>
                <w:rPr>
                  <w:rFonts w:hint="eastAsia" w:ascii="DejaVu Math TeX Gyre" w:hAnsi="DejaVu Math TeX Gyre" w:cs="仿宋_GB2312"/>
                  <w:snapToGrid w:val="0"/>
                  <w:kern w:val="0"/>
                  <w:sz w:val="21"/>
                  <w:szCs w:val="21"/>
                  <w:lang w:val="en" w:eastAsia="zh-CN" w:bidi="ar-SA"/>
                </w:rPr>
              </m:ctrlPr>
            </m:e>
          </m:nary>
        </m:oMath>
      </m:oMathPara>
    </w:p>
    <w:p>
      <w:pPr>
        <w:keepNext w:val="0"/>
        <w:keepLines w:val="0"/>
        <w:pageBreakBefore w:val="0"/>
        <w:kinsoku/>
        <w:wordWrap/>
        <w:overflowPunct/>
        <w:topLinePunct w:val="0"/>
        <w:autoSpaceDE/>
        <w:autoSpaceDN/>
        <w:bidi w:val="0"/>
        <w:adjustRightInd w:val="0"/>
        <w:snapToGrid w:val="0"/>
        <w:spacing w:line="360" w:lineRule="auto"/>
        <w:ind w:firstLine="640" w:firstLineChars="200"/>
        <w:jc w:val="left"/>
        <w:textAlignment w:val="auto"/>
        <w:rPr>
          <w:rFonts w:hint="eastAsia" w:ascii="仿宋_GB2312"/>
          <w:snapToGrid w:val="0"/>
          <w:kern w:val="0"/>
          <w:sz w:val="32"/>
          <w:szCs w:val="32"/>
        </w:rPr>
      </w:pPr>
      <w:r>
        <w:rPr>
          <w:rFonts w:hint="eastAsia" w:ascii="仿宋_GB2312"/>
          <w:snapToGrid w:val="0"/>
          <w:kern w:val="0"/>
          <w:sz w:val="32"/>
          <w:szCs w:val="32"/>
          <w:lang w:eastAsia="zh-CN"/>
        </w:rPr>
        <w:t>承销团</w:t>
      </w:r>
      <w:r>
        <w:rPr>
          <w:rFonts w:hint="eastAsia" w:ascii="仿宋_GB2312"/>
          <w:snapToGrid w:val="0"/>
          <w:kern w:val="0"/>
          <w:sz w:val="32"/>
          <w:szCs w:val="32"/>
        </w:rPr>
        <w:t>成员上一季度各期储蓄国债（</w:t>
      </w:r>
      <w:r>
        <w:rPr>
          <w:rFonts w:hint="eastAsia" w:ascii="仿宋_GB2312"/>
          <w:snapToGrid w:val="0"/>
          <w:kern w:val="0"/>
          <w:sz w:val="32"/>
          <w:szCs w:val="32"/>
          <w:lang w:eastAsia="zh-CN"/>
        </w:rPr>
        <w:t>凭证</w:t>
      </w:r>
      <w:r>
        <w:rPr>
          <w:rFonts w:hint="eastAsia" w:ascii="仿宋_GB2312"/>
          <w:snapToGrid w:val="0"/>
          <w:kern w:val="0"/>
          <w:sz w:val="32"/>
          <w:szCs w:val="32"/>
        </w:rPr>
        <w:t>式）</w:t>
      </w:r>
      <w:r>
        <w:rPr>
          <w:rFonts w:hint="eastAsia" w:ascii="仿宋_GB2312"/>
          <w:snapToGrid w:val="0"/>
          <w:kern w:val="0"/>
          <w:sz w:val="32"/>
          <w:szCs w:val="32"/>
          <w:lang w:eastAsia="zh-CN"/>
        </w:rPr>
        <w:t>销售</w:t>
      </w:r>
      <w:r>
        <w:rPr>
          <w:rFonts w:hint="eastAsia" w:ascii="仿宋_GB2312"/>
          <w:snapToGrid w:val="0"/>
          <w:kern w:val="0"/>
          <w:sz w:val="32"/>
          <w:szCs w:val="32"/>
        </w:rPr>
        <w:t>量不包含超额度违规销售的部分。</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ascii="仿宋_GB2312"/>
          <w:snapToGrid w:val="0"/>
          <w:kern w:val="0"/>
          <w:sz w:val="32"/>
          <w:szCs w:val="32"/>
        </w:rPr>
      </w:pPr>
      <w:r>
        <w:rPr>
          <w:rFonts w:hint="eastAsia" w:ascii="仿宋_GB2312"/>
          <w:snapToGrid w:val="0"/>
          <w:kern w:val="0"/>
          <w:sz w:val="32"/>
          <w:szCs w:val="32"/>
        </w:rPr>
        <w:t>如有成员按本办法第二十条</w:t>
      </w:r>
      <w:r>
        <w:rPr>
          <w:rFonts w:hint="eastAsia" w:ascii="仿宋_GB2312"/>
          <w:snapToGrid w:val="0"/>
          <w:kern w:val="0"/>
          <w:sz w:val="32"/>
          <w:szCs w:val="32"/>
          <w:lang w:eastAsia="zh-CN"/>
        </w:rPr>
        <w:t>第（一）项</w:t>
      </w:r>
      <w:r>
        <w:rPr>
          <w:rFonts w:hint="eastAsia" w:ascii="仿宋_GB2312"/>
          <w:snapToGrid w:val="0"/>
          <w:kern w:val="0"/>
          <w:sz w:val="32"/>
          <w:szCs w:val="32"/>
        </w:rPr>
        <w:t>规定进行代销额度调减，其他成员代销额度比例重新计算，该成员被调减出的代销额度比例计入公式中“∑参与调整的承销团成员原代销额度比例”。</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ascii="仿宋_GB2312"/>
          <w:snapToGrid w:val="0"/>
          <w:kern w:val="0"/>
          <w:sz w:val="32"/>
          <w:szCs w:val="32"/>
        </w:rPr>
      </w:pPr>
      <w:r>
        <w:rPr>
          <w:rFonts w:hint="eastAsia" w:ascii="仿宋_GB2312"/>
          <w:snapToGrid w:val="0"/>
          <w:kern w:val="0"/>
          <w:sz w:val="32"/>
          <w:szCs w:val="32"/>
        </w:rPr>
        <w:t>（</w:t>
      </w:r>
      <w:r>
        <w:rPr>
          <w:rFonts w:hint="eastAsia" w:ascii="仿宋_GB2312"/>
          <w:snapToGrid w:val="0"/>
          <w:kern w:val="0"/>
          <w:sz w:val="32"/>
          <w:szCs w:val="32"/>
          <w:lang w:eastAsia="zh-CN"/>
        </w:rPr>
        <w:t>三</w:t>
      </w:r>
      <w:r>
        <w:rPr>
          <w:rFonts w:hint="eastAsia" w:ascii="仿宋_GB2312"/>
          <w:snapToGrid w:val="0"/>
          <w:kern w:val="0"/>
          <w:sz w:val="32"/>
          <w:szCs w:val="32"/>
        </w:rPr>
        <w:t>）尾差</w:t>
      </w:r>
      <w:r>
        <w:rPr>
          <w:rFonts w:hint="eastAsia" w:ascii="仿宋_GB2312"/>
          <w:snapToGrid w:val="0"/>
          <w:kern w:val="0"/>
          <w:sz w:val="32"/>
          <w:szCs w:val="32"/>
          <w:lang w:eastAsia="zh-CN"/>
        </w:rPr>
        <w:t>处理</w:t>
      </w:r>
      <w:r>
        <w:rPr>
          <w:rFonts w:hint="eastAsia" w:ascii="仿宋_GB2312"/>
          <w:snapToGrid w:val="0"/>
          <w:kern w:val="0"/>
          <w:sz w:val="32"/>
          <w:szCs w:val="32"/>
        </w:rPr>
        <w:t>。</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snapToGrid w:val="0"/>
          <w:kern w:val="0"/>
          <w:sz w:val="32"/>
          <w:szCs w:val="32"/>
        </w:rPr>
      </w:pPr>
      <w:r>
        <w:rPr>
          <w:rFonts w:hint="eastAsia" w:ascii="仿宋_GB2312"/>
          <w:snapToGrid w:val="0"/>
          <w:kern w:val="0"/>
          <w:sz w:val="32"/>
          <w:szCs w:val="32"/>
          <w:lang w:eastAsia="zh-CN"/>
        </w:rPr>
        <w:t>上述</w:t>
      </w:r>
      <w:r>
        <w:rPr>
          <w:rFonts w:hint="eastAsia" w:ascii="仿宋_GB2312"/>
          <w:snapToGrid w:val="0"/>
          <w:kern w:val="0"/>
          <w:sz w:val="32"/>
          <w:szCs w:val="32"/>
        </w:rPr>
        <w:t>计算结果</w:t>
      </w:r>
      <w:r>
        <w:rPr>
          <w:rFonts w:hint="eastAsia" w:ascii="仿宋_GB2312"/>
          <w:snapToGrid w:val="0"/>
          <w:kern w:val="0"/>
          <w:sz w:val="32"/>
          <w:szCs w:val="32"/>
          <w:lang w:eastAsia="zh-CN"/>
        </w:rPr>
        <w:t>以</w:t>
      </w:r>
      <w:r>
        <w:rPr>
          <w:rFonts w:hint="eastAsia" w:ascii="仿宋_GB2312"/>
          <w:snapToGrid w:val="0"/>
          <w:kern w:val="0"/>
          <w:sz w:val="32"/>
          <w:szCs w:val="32"/>
        </w:rPr>
        <w:t>百分数为单位四舍五入保留</w:t>
      </w:r>
      <w:r>
        <w:rPr>
          <w:rFonts w:hint="eastAsia" w:ascii="仿宋_GB2312"/>
          <w:snapToGrid w:val="0"/>
          <w:kern w:val="0"/>
          <w:sz w:val="32"/>
          <w:szCs w:val="32"/>
          <w:lang w:val="en-US" w:eastAsia="zh-CN"/>
        </w:rPr>
        <w:t>2</w:t>
      </w:r>
      <w:r>
        <w:rPr>
          <w:rFonts w:hint="eastAsia" w:ascii="仿宋_GB2312"/>
          <w:snapToGrid w:val="0"/>
          <w:kern w:val="0"/>
          <w:sz w:val="32"/>
          <w:szCs w:val="32"/>
        </w:rPr>
        <w:t>位小数，不足0.</w:t>
      </w:r>
      <w:r>
        <w:rPr>
          <w:rFonts w:hint="eastAsia" w:ascii="仿宋_GB2312"/>
          <w:snapToGrid w:val="0"/>
          <w:kern w:val="0"/>
          <w:sz w:val="32"/>
          <w:szCs w:val="32"/>
          <w:lang w:val="en-US" w:eastAsia="zh-CN"/>
        </w:rPr>
        <w:t>01</w:t>
      </w:r>
      <w:r>
        <w:rPr>
          <w:rFonts w:hint="eastAsia" w:ascii="仿宋_GB2312"/>
          <w:snapToGrid w:val="0"/>
          <w:kern w:val="0"/>
          <w:sz w:val="32"/>
          <w:szCs w:val="32"/>
        </w:rPr>
        <w:t>%</w:t>
      </w:r>
      <w:r>
        <w:rPr>
          <w:rFonts w:hint="eastAsia" w:ascii="仿宋_GB2312"/>
          <w:snapToGrid w:val="0"/>
          <w:kern w:val="0"/>
          <w:sz w:val="32"/>
          <w:szCs w:val="32"/>
          <w:lang w:eastAsia="zh-CN"/>
        </w:rPr>
        <w:t>的</w:t>
      </w:r>
      <w:r>
        <w:rPr>
          <w:rFonts w:hint="eastAsia" w:ascii="仿宋_GB2312"/>
          <w:snapToGrid w:val="0"/>
          <w:kern w:val="0"/>
          <w:sz w:val="32"/>
          <w:szCs w:val="32"/>
        </w:rPr>
        <w:t>，按照0.</w:t>
      </w:r>
      <w:r>
        <w:rPr>
          <w:rFonts w:hint="eastAsia" w:ascii="仿宋_GB2312"/>
          <w:snapToGrid w:val="0"/>
          <w:kern w:val="0"/>
          <w:sz w:val="32"/>
          <w:szCs w:val="32"/>
          <w:lang w:val="en-US" w:eastAsia="zh-CN"/>
        </w:rPr>
        <w:t>01</w:t>
      </w:r>
      <w:r>
        <w:rPr>
          <w:rFonts w:hint="eastAsia" w:ascii="仿宋_GB2312"/>
          <w:snapToGrid w:val="0"/>
          <w:kern w:val="0"/>
          <w:sz w:val="32"/>
          <w:szCs w:val="32"/>
        </w:rPr>
        <w:t>%计算。</w:t>
      </w:r>
      <w:r>
        <w:rPr>
          <w:rFonts w:hint="eastAsia" w:ascii="仿宋_GB2312"/>
          <w:snapToGrid w:val="0"/>
          <w:kern w:val="0"/>
          <w:sz w:val="32"/>
          <w:szCs w:val="32"/>
          <w:lang w:eastAsia="zh-CN"/>
        </w:rPr>
        <w:t>经上述计算后，如</w:t>
      </w:r>
      <w:r>
        <w:rPr>
          <w:rFonts w:hint="eastAsia" w:ascii="仿宋_GB2312"/>
          <w:snapToGrid w:val="0"/>
          <w:kern w:val="0"/>
          <w:sz w:val="32"/>
          <w:szCs w:val="32"/>
        </w:rPr>
        <w:t>承销团成员</w:t>
      </w:r>
      <w:r>
        <w:rPr>
          <w:rFonts w:hint="eastAsia" w:ascii="仿宋_GB2312"/>
          <w:snapToGrid w:val="0"/>
          <w:kern w:val="0"/>
          <w:sz w:val="32"/>
          <w:szCs w:val="32"/>
          <w:lang w:eastAsia="zh-CN"/>
        </w:rPr>
        <w:t>储蓄国债（凭证式）</w:t>
      </w:r>
      <w:r>
        <w:rPr>
          <w:rFonts w:hint="eastAsia" w:ascii="仿宋_GB2312"/>
          <w:snapToGrid w:val="0"/>
          <w:kern w:val="0"/>
          <w:sz w:val="32"/>
          <w:szCs w:val="32"/>
        </w:rPr>
        <w:t>代销额度比例合计</w:t>
      </w:r>
      <w:r>
        <w:rPr>
          <w:rFonts w:hint="eastAsia" w:ascii="仿宋_GB2312"/>
          <w:snapToGrid w:val="0"/>
          <w:kern w:val="0"/>
          <w:sz w:val="32"/>
          <w:szCs w:val="32"/>
          <w:lang w:eastAsia="zh-CN"/>
        </w:rPr>
        <w:t>不等于</w:t>
      </w:r>
      <w:r>
        <w:rPr>
          <w:rFonts w:hint="eastAsia" w:ascii="仿宋_GB2312"/>
          <w:snapToGrid w:val="0"/>
          <w:kern w:val="0"/>
          <w:sz w:val="32"/>
          <w:szCs w:val="32"/>
        </w:rPr>
        <w:t>100%</w:t>
      </w:r>
      <w:r>
        <w:rPr>
          <w:rFonts w:hint="eastAsia" w:ascii="仿宋_GB2312"/>
          <w:snapToGrid w:val="0"/>
          <w:kern w:val="0"/>
          <w:sz w:val="32"/>
          <w:szCs w:val="32"/>
          <w:lang w:eastAsia="zh-CN"/>
        </w:rPr>
        <w:t>，比照储蓄国债（电子式）进行尾差处理。</w:t>
      </w:r>
    </w:p>
    <w:p>
      <w:pPr>
        <w:keepNext w:val="0"/>
        <w:keepLines w:val="0"/>
        <w:pageBreakBefore w:val="0"/>
        <w:kinsoku/>
        <w:wordWrap/>
        <w:overflowPunct/>
        <w:topLinePunct w:val="0"/>
        <w:autoSpaceDE/>
        <w:autoSpaceDN/>
        <w:bidi w:val="0"/>
        <w:adjustRightInd w:val="0"/>
        <w:snapToGrid w:val="0"/>
        <w:spacing w:line="360" w:lineRule="auto"/>
        <w:ind w:firstLine="642" w:firstLineChars="200"/>
        <w:textAlignment w:val="auto"/>
        <w:rPr>
          <w:rFonts w:ascii="仿宋_GB2312"/>
          <w:sz w:val="32"/>
          <w:szCs w:val="32"/>
          <w:u w:val="none"/>
        </w:rPr>
      </w:pPr>
      <w:r>
        <w:rPr>
          <w:rFonts w:hint="eastAsia" w:ascii="仿宋_GB2312"/>
          <w:b/>
          <w:bCs/>
          <w:snapToGrid w:val="0"/>
          <w:kern w:val="0"/>
          <w:sz w:val="32"/>
          <w:szCs w:val="32"/>
          <w:u w:val="none"/>
          <w:lang w:eastAsia="zh-CN"/>
        </w:rPr>
        <w:t>第十七条</w:t>
      </w:r>
      <w:r>
        <w:rPr>
          <w:rFonts w:hint="eastAsia" w:ascii="仿宋_GB2312"/>
          <w:snapToGrid w:val="0"/>
          <w:kern w:val="0"/>
          <w:sz w:val="32"/>
          <w:szCs w:val="32"/>
          <w:u w:val="none"/>
          <w:lang w:val="en-US" w:eastAsia="zh-CN"/>
        </w:rPr>
        <w:t xml:space="preserve"> 储蓄国债（凭证式）</w:t>
      </w:r>
      <w:r>
        <w:rPr>
          <w:rFonts w:hint="eastAsia" w:ascii="仿宋_GB2312"/>
          <w:sz w:val="32"/>
          <w:szCs w:val="32"/>
          <w:u w:val="none"/>
        </w:rPr>
        <w:t>发行期间，原则上不调整承销团成员的发行额度。</w:t>
      </w:r>
    </w:p>
    <w:p>
      <w:pPr>
        <w:keepNext w:val="0"/>
        <w:keepLines w:val="0"/>
        <w:pageBreakBefore w:val="0"/>
        <w:kinsoku/>
        <w:wordWrap/>
        <w:overflowPunct/>
        <w:topLinePunct w:val="0"/>
        <w:autoSpaceDE/>
        <w:autoSpaceDN/>
        <w:bidi w:val="0"/>
        <w:adjustRightInd w:val="0"/>
        <w:snapToGrid w:val="0"/>
        <w:spacing w:line="360" w:lineRule="auto"/>
        <w:ind w:firstLine="640" w:firstLineChars="0"/>
        <w:textAlignment w:val="auto"/>
        <w:rPr>
          <w:rFonts w:hint="eastAsia" w:ascii="仿宋_GB2312"/>
          <w:snapToGrid w:val="0"/>
          <w:kern w:val="0"/>
          <w:sz w:val="32"/>
          <w:szCs w:val="32"/>
          <w:u w:val="none"/>
        </w:rPr>
      </w:pPr>
      <w:r>
        <w:rPr>
          <w:rFonts w:hint="eastAsia" w:ascii="仿宋_GB2312"/>
          <w:b/>
          <w:bCs/>
          <w:snapToGrid w:val="0"/>
          <w:kern w:val="0"/>
          <w:sz w:val="32"/>
          <w:szCs w:val="32"/>
          <w:u w:val="none"/>
          <w:lang w:val="en-US" w:eastAsia="zh-CN"/>
        </w:rPr>
        <w:t xml:space="preserve">第十八条 </w:t>
      </w:r>
      <w:r>
        <w:rPr>
          <w:rFonts w:hint="eastAsia" w:ascii="仿宋_GB2312"/>
          <w:snapToGrid w:val="0"/>
          <w:kern w:val="0"/>
          <w:sz w:val="32"/>
          <w:szCs w:val="32"/>
          <w:u w:val="none"/>
          <w:lang w:val="en-US" w:eastAsia="zh-CN"/>
        </w:rPr>
        <w:t>储蓄国债（凭证式）</w:t>
      </w:r>
      <w:r>
        <w:rPr>
          <w:rFonts w:hint="eastAsia" w:ascii="仿宋_GB2312"/>
          <w:snapToGrid w:val="0"/>
          <w:kern w:val="0"/>
          <w:sz w:val="32"/>
          <w:szCs w:val="32"/>
          <w:u w:val="none"/>
        </w:rPr>
        <w:t>发行期结束后，各承销团成员</w:t>
      </w:r>
      <w:r>
        <w:rPr>
          <w:rFonts w:ascii="仿宋_GB2312"/>
          <w:snapToGrid w:val="0"/>
          <w:kern w:val="0"/>
          <w:sz w:val="32"/>
          <w:szCs w:val="32"/>
          <w:u w:val="none"/>
        </w:rPr>
        <w:t>应当</w:t>
      </w:r>
      <w:r>
        <w:rPr>
          <w:rFonts w:hint="eastAsia" w:ascii="仿宋_GB2312"/>
          <w:snapToGrid w:val="0"/>
          <w:kern w:val="0"/>
          <w:sz w:val="32"/>
          <w:szCs w:val="32"/>
          <w:u w:val="none"/>
        </w:rPr>
        <w:t>准确计算当期储蓄国债（凭证式）实际发售金额，</w:t>
      </w:r>
      <w:r>
        <w:rPr>
          <w:rFonts w:hint="eastAsia" w:ascii="仿宋_GB2312"/>
          <w:snapToGrid w:val="0"/>
          <w:kern w:val="0"/>
          <w:sz w:val="32"/>
          <w:szCs w:val="32"/>
          <w:u w:val="none"/>
          <w:lang w:eastAsia="zh-CN"/>
        </w:rPr>
        <w:t>并</w:t>
      </w:r>
      <w:r>
        <w:rPr>
          <w:rFonts w:hint="eastAsia" w:ascii="仿宋_GB2312"/>
          <w:snapToGrid w:val="0"/>
          <w:kern w:val="0"/>
          <w:sz w:val="32"/>
          <w:szCs w:val="32"/>
          <w:u w:val="none"/>
        </w:rPr>
        <w:t>将未售出的发行额度注销。</w:t>
      </w:r>
    </w:p>
    <w:p>
      <w:pPr>
        <w:keepNext w:val="0"/>
        <w:keepLines w:val="0"/>
        <w:pageBreakBefore w:val="0"/>
        <w:kinsoku/>
        <w:wordWrap/>
        <w:overflowPunct/>
        <w:topLinePunct w:val="0"/>
        <w:autoSpaceDE/>
        <w:autoSpaceDN/>
        <w:bidi w:val="0"/>
        <w:adjustRightInd w:val="0"/>
        <w:snapToGrid w:val="0"/>
        <w:spacing w:line="360" w:lineRule="auto"/>
        <w:ind w:firstLine="642" w:firstLineChars="200"/>
        <w:textAlignment w:val="auto"/>
        <w:rPr>
          <w:rFonts w:ascii="仿宋_GB2312"/>
          <w:snapToGrid w:val="0"/>
          <w:kern w:val="0"/>
          <w:sz w:val="32"/>
          <w:szCs w:val="32"/>
        </w:rPr>
      </w:pPr>
      <w:r>
        <w:rPr>
          <w:rFonts w:hint="eastAsia" w:ascii="仿宋_GB2312"/>
          <w:b/>
          <w:snapToGrid w:val="0"/>
          <w:kern w:val="0"/>
          <w:sz w:val="32"/>
          <w:szCs w:val="32"/>
        </w:rPr>
        <w:t>第十</w:t>
      </w:r>
      <w:r>
        <w:rPr>
          <w:rFonts w:hint="eastAsia" w:ascii="仿宋_GB2312"/>
          <w:b/>
          <w:snapToGrid w:val="0"/>
          <w:kern w:val="0"/>
          <w:sz w:val="32"/>
          <w:szCs w:val="32"/>
          <w:lang w:eastAsia="zh-CN"/>
        </w:rPr>
        <w:t>九</w:t>
      </w:r>
      <w:r>
        <w:rPr>
          <w:rFonts w:hint="eastAsia" w:ascii="仿宋_GB2312"/>
          <w:b/>
          <w:snapToGrid w:val="0"/>
          <w:kern w:val="0"/>
          <w:sz w:val="32"/>
          <w:szCs w:val="32"/>
        </w:rPr>
        <w:t>条</w:t>
      </w:r>
      <w:r>
        <w:rPr>
          <w:rFonts w:hint="eastAsia" w:ascii="仿宋_GB2312"/>
          <w:snapToGrid w:val="0"/>
          <w:kern w:val="0"/>
          <w:sz w:val="32"/>
          <w:szCs w:val="32"/>
          <w:lang w:val="en-US" w:eastAsia="zh-CN"/>
        </w:rPr>
        <w:t xml:space="preserve"> </w:t>
      </w:r>
      <w:r>
        <w:rPr>
          <w:rFonts w:hint="eastAsia" w:ascii="仿宋_GB2312"/>
          <w:snapToGrid w:val="0"/>
          <w:kern w:val="0"/>
          <w:sz w:val="32"/>
          <w:szCs w:val="32"/>
        </w:rPr>
        <w:t>承销团成员如无法连续7天（含）以上参加某期储蓄国债（凭证式）发行，</w:t>
      </w:r>
      <w:r>
        <w:rPr>
          <w:rFonts w:ascii="仿宋_GB2312"/>
          <w:snapToGrid w:val="0"/>
          <w:kern w:val="0"/>
          <w:sz w:val="32"/>
          <w:szCs w:val="32"/>
        </w:rPr>
        <w:t>应当</w:t>
      </w:r>
      <w:r>
        <w:rPr>
          <w:rFonts w:hint="eastAsia" w:ascii="仿宋_GB2312"/>
          <w:snapToGrid w:val="0"/>
          <w:kern w:val="0"/>
          <w:sz w:val="32"/>
          <w:szCs w:val="32"/>
        </w:rPr>
        <w:t>不晚于当期国债发行前20个工作日报告财政部和</w:t>
      </w:r>
      <w:r>
        <w:rPr>
          <w:rFonts w:hint="default" w:ascii="仿宋_GB2312"/>
          <w:snapToGrid w:val="0"/>
          <w:kern w:val="0"/>
          <w:sz w:val="32"/>
          <w:szCs w:val="32"/>
          <w:lang w:val="en"/>
        </w:rPr>
        <w:t>人民银行</w:t>
      </w:r>
      <w:r>
        <w:rPr>
          <w:rFonts w:hint="eastAsia" w:ascii="仿宋_GB2312"/>
          <w:snapToGrid w:val="0"/>
          <w:kern w:val="0"/>
          <w:sz w:val="32"/>
          <w:szCs w:val="32"/>
          <w:lang w:eastAsia="zh-CN"/>
        </w:rPr>
        <w:t>。</w:t>
      </w:r>
      <w:r>
        <w:rPr>
          <w:rFonts w:hint="eastAsia" w:ascii="仿宋_GB2312"/>
          <w:snapToGrid w:val="0"/>
          <w:kern w:val="0"/>
          <w:sz w:val="32"/>
          <w:szCs w:val="32"/>
        </w:rPr>
        <w:t>财政部</w:t>
      </w:r>
      <w:r>
        <w:rPr>
          <w:rFonts w:hint="eastAsia" w:ascii="仿宋_GB2312"/>
          <w:snapToGrid w:val="0"/>
          <w:kern w:val="0"/>
          <w:sz w:val="32"/>
          <w:szCs w:val="32"/>
          <w:lang w:eastAsia="zh-CN"/>
        </w:rPr>
        <w:t>会同</w:t>
      </w:r>
      <w:r>
        <w:rPr>
          <w:rFonts w:hint="default" w:ascii="仿宋_GB2312"/>
          <w:snapToGrid w:val="0"/>
          <w:kern w:val="0"/>
          <w:sz w:val="32"/>
          <w:szCs w:val="32"/>
          <w:lang w:val="en"/>
        </w:rPr>
        <w:t>人民银行</w:t>
      </w:r>
      <w:r>
        <w:rPr>
          <w:rFonts w:hint="eastAsia" w:ascii="仿宋_GB2312"/>
          <w:snapToGrid w:val="0"/>
          <w:kern w:val="0"/>
          <w:sz w:val="32"/>
          <w:szCs w:val="32"/>
        </w:rPr>
        <w:t>于发行开始前，</w:t>
      </w:r>
      <w:r>
        <w:rPr>
          <w:rFonts w:hint="eastAsia" w:ascii="仿宋_GB2312"/>
          <w:snapToGrid w:val="0"/>
          <w:kern w:val="0"/>
          <w:sz w:val="32"/>
          <w:szCs w:val="32"/>
          <w:lang w:eastAsia="zh-CN"/>
        </w:rPr>
        <w:t>将</w:t>
      </w:r>
      <w:r>
        <w:rPr>
          <w:rFonts w:hint="eastAsia" w:ascii="仿宋_GB2312"/>
          <w:snapToGrid w:val="0"/>
          <w:kern w:val="0"/>
          <w:sz w:val="32"/>
          <w:szCs w:val="32"/>
        </w:rPr>
        <w:t>其代销额度分配给参与当期国债发行的承销团成员，从最近一次调整时代销额度比例调增幅度最大的机构开始，从高至低依次调增0.01个百分点，直至额度分配完毕。如</w:t>
      </w:r>
      <w:r>
        <w:rPr>
          <w:rFonts w:hint="eastAsia" w:ascii="仿宋_GB2312"/>
          <w:snapToGrid w:val="0"/>
          <w:kern w:val="0"/>
          <w:sz w:val="32"/>
          <w:szCs w:val="32"/>
          <w:lang w:eastAsia="zh-CN"/>
        </w:rPr>
        <w:t>两家及以上承销团成员</w:t>
      </w:r>
      <w:r>
        <w:rPr>
          <w:rFonts w:hint="eastAsia" w:ascii="仿宋_GB2312"/>
          <w:snapToGrid w:val="0"/>
          <w:kern w:val="0"/>
          <w:sz w:val="32"/>
          <w:szCs w:val="32"/>
        </w:rPr>
        <w:t>调增幅度相同，</w:t>
      </w:r>
      <w:r>
        <w:rPr>
          <w:rFonts w:hint="eastAsia" w:ascii="仿宋_GB2312"/>
          <w:snapToGrid w:val="0"/>
          <w:kern w:val="0"/>
          <w:sz w:val="32"/>
          <w:szCs w:val="32"/>
          <w:lang w:eastAsia="zh-CN"/>
        </w:rPr>
        <w:t>且均非新成员，</w:t>
      </w:r>
      <w:r>
        <w:rPr>
          <w:rFonts w:hint="eastAsia" w:ascii="仿宋_GB2312"/>
          <w:snapToGrid w:val="0"/>
          <w:kern w:val="0"/>
          <w:sz w:val="32"/>
          <w:szCs w:val="32"/>
        </w:rPr>
        <w:t>上一年度综合排名居</w:t>
      </w:r>
      <w:r>
        <w:rPr>
          <w:rFonts w:hint="eastAsia" w:ascii="仿宋_GB2312"/>
          <w:snapToGrid w:val="0"/>
          <w:kern w:val="0"/>
          <w:sz w:val="32"/>
          <w:szCs w:val="32"/>
          <w:lang w:eastAsia="zh-CN"/>
        </w:rPr>
        <w:t>前</w:t>
      </w:r>
      <w:r>
        <w:rPr>
          <w:rFonts w:hint="eastAsia" w:ascii="仿宋_GB2312"/>
          <w:snapToGrid w:val="0"/>
          <w:kern w:val="0"/>
          <w:sz w:val="32"/>
          <w:szCs w:val="32"/>
        </w:rPr>
        <w:t>的承销团成员先调</w:t>
      </w:r>
      <w:r>
        <w:rPr>
          <w:rFonts w:hint="eastAsia" w:ascii="仿宋_GB2312"/>
          <w:snapToGrid w:val="0"/>
          <w:kern w:val="0"/>
          <w:sz w:val="32"/>
          <w:szCs w:val="32"/>
          <w:lang w:eastAsia="zh-CN"/>
        </w:rPr>
        <w:t>增；如调增幅度相同的承销团成员中有</w:t>
      </w:r>
      <w:r>
        <w:rPr>
          <w:rFonts w:hint="eastAsia" w:ascii="仿宋_GB2312"/>
          <w:snapToGrid w:val="0"/>
          <w:kern w:val="0"/>
          <w:sz w:val="32"/>
          <w:szCs w:val="32"/>
        </w:rPr>
        <w:t>新成员，</w:t>
      </w:r>
      <w:r>
        <w:rPr>
          <w:rFonts w:hint="eastAsia" w:ascii="仿宋_GB2312"/>
          <w:snapToGrid w:val="0"/>
          <w:kern w:val="0"/>
          <w:sz w:val="32"/>
          <w:szCs w:val="32"/>
          <w:lang w:eastAsia="zh-CN"/>
        </w:rPr>
        <w:t>则调增幅度相同的承销团成员中，当年</w:t>
      </w:r>
      <w:r>
        <w:rPr>
          <w:rFonts w:hint="eastAsia" w:ascii="仿宋_GB2312"/>
          <w:snapToGrid w:val="0"/>
          <w:kern w:val="0"/>
          <w:sz w:val="32"/>
          <w:szCs w:val="32"/>
        </w:rPr>
        <w:t>储蓄国债（</w:t>
      </w:r>
      <w:r>
        <w:rPr>
          <w:rFonts w:hint="eastAsia" w:ascii="仿宋_GB2312"/>
          <w:snapToGrid w:val="0"/>
          <w:kern w:val="0"/>
          <w:sz w:val="32"/>
          <w:szCs w:val="32"/>
          <w:lang w:eastAsia="zh-CN"/>
        </w:rPr>
        <w:t>凭证</w:t>
      </w:r>
      <w:r>
        <w:rPr>
          <w:rFonts w:hint="eastAsia" w:ascii="仿宋_GB2312"/>
          <w:snapToGrid w:val="0"/>
          <w:kern w:val="0"/>
          <w:sz w:val="32"/>
          <w:szCs w:val="32"/>
        </w:rPr>
        <w:t>式）累计销量居</w:t>
      </w:r>
      <w:r>
        <w:rPr>
          <w:rFonts w:hint="eastAsia" w:ascii="仿宋_GB2312"/>
          <w:snapToGrid w:val="0"/>
          <w:kern w:val="0"/>
          <w:sz w:val="32"/>
          <w:szCs w:val="32"/>
          <w:lang w:eastAsia="zh-CN"/>
        </w:rPr>
        <w:t>前</w:t>
      </w:r>
      <w:r>
        <w:rPr>
          <w:rFonts w:hint="eastAsia" w:ascii="仿宋_GB2312"/>
          <w:snapToGrid w:val="0"/>
          <w:kern w:val="0"/>
          <w:sz w:val="32"/>
          <w:szCs w:val="32"/>
        </w:rPr>
        <w:t>的先调</w:t>
      </w:r>
      <w:r>
        <w:rPr>
          <w:rFonts w:hint="eastAsia" w:ascii="仿宋_GB2312"/>
          <w:snapToGrid w:val="0"/>
          <w:kern w:val="0"/>
          <w:sz w:val="32"/>
          <w:szCs w:val="32"/>
          <w:lang w:eastAsia="zh-CN"/>
        </w:rPr>
        <w:t>增</w:t>
      </w:r>
      <w:r>
        <w:rPr>
          <w:rFonts w:hint="eastAsia" w:ascii="仿宋_GB2312"/>
          <w:snapToGrid w:val="0"/>
          <w:kern w:val="0"/>
          <w:sz w:val="32"/>
          <w:szCs w:val="32"/>
        </w:rPr>
        <w:t>。</w:t>
      </w:r>
    </w:p>
    <w:p>
      <w:pPr>
        <w:keepNext w:val="0"/>
        <w:keepLines w:val="0"/>
        <w:pageBreakBefore w:val="0"/>
        <w:kinsoku/>
        <w:wordWrap/>
        <w:overflowPunct/>
        <w:topLinePunct w:val="0"/>
        <w:autoSpaceDE/>
        <w:autoSpaceDN/>
        <w:bidi w:val="0"/>
        <w:adjustRightInd w:val="0"/>
        <w:snapToGrid w:val="0"/>
        <w:spacing w:line="360" w:lineRule="auto"/>
        <w:ind w:firstLine="642" w:firstLineChars="200"/>
        <w:textAlignment w:val="auto"/>
        <w:rPr>
          <w:rFonts w:hint="eastAsia" w:ascii="仿宋_GB2312" w:eastAsia="仿宋_GB2312"/>
          <w:b/>
          <w:snapToGrid w:val="0"/>
          <w:kern w:val="0"/>
          <w:sz w:val="32"/>
          <w:szCs w:val="32"/>
          <w:lang w:eastAsia="zh-CN"/>
        </w:rPr>
      </w:pPr>
      <w:r>
        <w:rPr>
          <w:rFonts w:hint="eastAsia" w:ascii="仿宋_GB2312"/>
          <w:b/>
          <w:snapToGrid w:val="0"/>
          <w:kern w:val="0"/>
          <w:sz w:val="32"/>
          <w:szCs w:val="32"/>
        </w:rPr>
        <w:t>第二十条</w:t>
      </w:r>
      <w:r>
        <w:rPr>
          <w:rFonts w:hint="eastAsia" w:ascii="仿宋_GB2312"/>
          <w:b/>
          <w:snapToGrid w:val="0"/>
          <w:kern w:val="0"/>
          <w:sz w:val="32"/>
          <w:szCs w:val="32"/>
          <w:lang w:val="en-US" w:eastAsia="zh-CN"/>
        </w:rPr>
        <w:t xml:space="preserve"> </w:t>
      </w:r>
      <w:r>
        <w:rPr>
          <w:rFonts w:hint="eastAsia" w:ascii="仿宋_GB2312"/>
          <w:b w:val="0"/>
          <w:bCs/>
          <w:snapToGrid w:val="0"/>
          <w:kern w:val="0"/>
          <w:sz w:val="32"/>
          <w:szCs w:val="32"/>
          <w:lang w:eastAsia="zh-CN"/>
        </w:rPr>
        <w:t>承销团成员违规及处理：</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ascii="仿宋_GB2312"/>
          <w:snapToGrid w:val="0"/>
          <w:kern w:val="0"/>
          <w:sz w:val="32"/>
          <w:szCs w:val="32"/>
        </w:rPr>
      </w:pPr>
      <w:r>
        <w:rPr>
          <w:rFonts w:hint="eastAsia" w:ascii="仿宋_GB2312"/>
          <w:sz w:val="32"/>
          <w:szCs w:val="32"/>
          <w:lang w:eastAsia="zh-CN"/>
        </w:rPr>
        <w:t>（一）如</w:t>
      </w:r>
      <w:r>
        <w:rPr>
          <w:rFonts w:hint="eastAsia" w:ascii="仿宋_GB2312"/>
          <w:sz w:val="32"/>
          <w:szCs w:val="32"/>
        </w:rPr>
        <w:t>承销团成员销售储蓄国债（凭证式）</w:t>
      </w:r>
      <w:r>
        <w:rPr>
          <w:rFonts w:hint="eastAsia" w:ascii="仿宋_GB2312"/>
          <w:sz w:val="32"/>
          <w:szCs w:val="32"/>
          <w:lang w:eastAsia="zh-CN"/>
        </w:rPr>
        <w:t>超出其获得的发行额度，该成员</w:t>
      </w:r>
      <w:r>
        <w:rPr>
          <w:rFonts w:ascii="仿宋_GB2312"/>
          <w:sz w:val="32"/>
          <w:szCs w:val="32"/>
        </w:rPr>
        <w:t>应当</w:t>
      </w:r>
      <w:r>
        <w:rPr>
          <w:rFonts w:hint="eastAsia" w:ascii="仿宋_GB2312"/>
          <w:sz w:val="32"/>
          <w:szCs w:val="32"/>
        </w:rPr>
        <w:t>立即停止销售，并报告财政部和</w:t>
      </w:r>
      <w:r>
        <w:rPr>
          <w:rFonts w:hint="default" w:ascii="仿宋_GB2312"/>
          <w:sz w:val="32"/>
          <w:szCs w:val="32"/>
          <w:lang w:val="en"/>
        </w:rPr>
        <w:t>人民银行</w:t>
      </w:r>
      <w:r>
        <w:rPr>
          <w:rFonts w:hint="eastAsia" w:ascii="仿宋_GB2312"/>
          <w:sz w:val="32"/>
          <w:szCs w:val="32"/>
        </w:rPr>
        <w:t>。</w:t>
      </w:r>
      <w:r>
        <w:rPr>
          <w:rFonts w:hint="eastAsia" w:ascii="仿宋_GB2312"/>
          <w:snapToGrid w:val="0"/>
          <w:kern w:val="0"/>
          <w:sz w:val="32"/>
          <w:szCs w:val="32"/>
        </w:rPr>
        <w:t>如承销团成员及时更正，最终未造成当期国债</w:t>
      </w:r>
      <w:r>
        <w:rPr>
          <w:rFonts w:hint="default" w:ascii="仿宋_GB2312"/>
          <w:snapToGrid w:val="0"/>
          <w:kern w:val="0"/>
          <w:sz w:val="32"/>
          <w:szCs w:val="32"/>
          <w:lang w:val="en"/>
        </w:rPr>
        <w:t>超额度发行</w:t>
      </w:r>
      <w:r>
        <w:rPr>
          <w:rFonts w:hint="eastAsia" w:ascii="仿宋_GB2312"/>
          <w:snapToGrid w:val="0"/>
          <w:kern w:val="0"/>
          <w:sz w:val="32"/>
          <w:szCs w:val="32"/>
        </w:rPr>
        <w:t>，其后续</w:t>
      </w:r>
      <w:r>
        <w:rPr>
          <w:rFonts w:hint="eastAsia" w:ascii="仿宋_GB2312"/>
          <w:snapToGrid w:val="0"/>
          <w:kern w:val="0"/>
          <w:sz w:val="32"/>
          <w:szCs w:val="32"/>
          <w:lang w:eastAsia="zh-CN"/>
        </w:rPr>
        <w:t>一个季度</w:t>
      </w:r>
      <w:r>
        <w:rPr>
          <w:rFonts w:hint="eastAsia" w:ascii="仿宋_GB2312"/>
          <w:snapToGrid w:val="0"/>
          <w:kern w:val="0"/>
          <w:sz w:val="32"/>
          <w:szCs w:val="32"/>
        </w:rPr>
        <w:t>储蓄国债（凭证式）代销额度比例确定方法为：</w:t>
      </w:r>
      <w:r>
        <w:rPr>
          <w:rFonts w:hint="eastAsia" w:ascii="仿宋_GB2312"/>
          <w:snapToGrid w:val="0"/>
          <w:kern w:val="0"/>
          <w:sz w:val="32"/>
          <w:szCs w:val="32"/>
          <w:lang w:eastAsia="zh-CN"/>
        </w:rPr>
        <w:t>从</w:t>
      </w:r>
      <w:r>
        <w:rPr>
          <w:rFonts w:hint="eastAsia" w:ascii="仿宋_GB2312"/>
          <w:snapToGrid w:val="0"/>
          <w:kern w:val="0"/>
          <w:sz w:val="32"/>
          <w:szCs w:val="32"/>
        </w:rPr>
        <w:t>按本办法第</w:t>
      </w:r>
      <w:r>
        <w:rPr>
          <w:rFonts w:hint="eastAsia" w:ascii="仿宋_GB2312"/>
          <w:snapToGrid w:val="0"/>
          <w:kern w:val="0"/>
          <w:sz w:val="32"/>
          <w:szCs w:val="32"/>
          <w:lang w:eastAsia="zh-CN"/>
        </w:rPr>
        <w:t>十六</w:t>
      </w:r>
      <w:r>
        <w:rPr>
          <w:rFonts w:hint="eastAsia" w:ascii="仿宋_GB2312"/>
          <w:snapToGrid w:val="0"/>
          <w:kern w:val="0"/>
          <w:sz w:val="32"/>
          <w:szCs w:val="32"/>
        </w:rPr>
        <w:t>条第</w:t>
      </w:r>
      <w:r>
        <w:rPr>
          <w:rFonts w:hint="eastAsia" w:ascii="仿宋_GB2312"/>
          <w:snapToGrid w:val="0"/>
          <w:kern w:val="0"/>
          <w:sz w:val="32"/>
          <w:szCs w:val="32"/>
          <w:lang w:eastAsia="zh-CN"/>
        </w:rPr>
        <w:t>（二）</w:t>
      </w:r>
      <w:r>
        <w:rPr>
          <w:rFonts w:hint="eastAsia" w:ascii="仿宋_GB2312"/>
          <w:snapToGrid w:val="0"/>
          <w:kern w:val="0"/>
          <w:sz w:val="32"/>
          <w:szCs w:val="32"/>
        </w:rPr>
        <w:t>项试算出的新代销额度比例</w:t>
      </w:r>
      <w:r>
        <w:rPr>
          <w:rFonts w:hint="eastAsia" w:ascii="仿宋_GB2312"/>
          <w:snapToGrid w:val="0"/>
          <w:kern w:val="0"/>
          <w:sz w:val="32"/>
          <w:szCs w:val="32"/>
          <w:lang w:eastAsia="zh-CN"/>
        </w:rPr>
        <w:t>和</w:t>
      </w:r>
      <w:r>
        <w:rPr>
          <w:rFonts w:hint="eastAsia" w:ascii="仿宋_GB2312"/>
          <w:snapToGrid w:val="0"/>
          <w:kern w:val="0"/>
          <w:sz w:val="32"/>
          <w:szCs w:val="32"/>
        </w:rPr>
        <w:t>原代销比例</w:t>
      </w:r>
      <w:r>
        <w:rPr>
          <w:rFonts w:hint="eastAsia" w:ascii="仿宋_GB2312"/>
          <w:snapToGrid w:val="0"/>
          <w:kern w:val="0"/>
          <w:sz w:val="32"/>
          <w:szCs w:val="32"/>
          <w:lang w:eastAsia="zh-CN"/>
        </w:rPr>
        <w:t>中取较低值，乘以</w:t>
      </w:r>
      <w:r>
        <w:rPr>
          <w:rFonts w:hint="eastAsia" w:ascii="仿宋_GB2312"/>
          <w:snapToGrid w:val="0"/>
          <w:kern w:val="0"/>
          <w:sz w:val="32"/>
          <w:szCs w:val="32"/>
          <w:lang w:val="en-US" w:eastAsia="zh-CN"/>
        </w:rPr>
        <w:t>70%确定</w:t>
      </w:r>
      <w:r>
        <w:rPr>
          <w:rFonts w:hint="eastAsia" w:ascii="仿宋_GB2312"/>
          <w:snapToGrid w:val="0"/>
          <w:kern w:val="0"/>
          <w:sz w:val="32"/>
          <w:szCs w:val="32"/>
        </w:rPr>
        <w:t>；如承销团成员更正不及时</w:t>
      </w:r>
      <w:r>
        <w:rPr>
          <w:rFonts w:hint="eastAsia" w:ascii="仿宋_GB2312"/>
          <w:snapToGrid w:val="0"/>
          <w:kern w:val="0"/>
          <w:sz w:val="32"/>
          <w:szCs w:val="32"/>
          <w:lang w:eastAsia="zh-CN"/>
        </w:rPr>
        <w:t>造成当期国债</w:t>
      </w:r>
      <w:r>
        <w:rPr>
          <w:rFonts w:hint="default" w:ascii="仿宋_GB2312"/>
          <w:snapToGrid w:val="0"/>
          <w:kern w:val="0"/>
          <w:sz w:val="32"/>
          <w:szCs w:val="32"/>
          <w:lang w:val="en" w:eastAsia="zh-CN"/>
        </w:rPr>
        <w:t>超额度发行</w:t>
      </w:r>
      <w:r>
        <w:rPr>
          <w:rFonts w:hint="eastAsia" w:ascii="仿宋_GB2312"/>
          <w:snapToGrid w:val="0"/>
          <w:kern w:val="0"/>
          <w:sz w:val="32"/>
          <w:szCs w:val="32"/>
          <w:lang w:eastAsia="zh-CN"/>
        </w:rPr>
        <w:t>，</w:t>
      </w:r>
      <w:r>
        <w:rPr>
          <w:rFonts w:hint="eastAsia" w:ascii="仿宋_GB2312"/>
          <w:snapToGrid w:val="0"/>
          <w:kern w:val="0"/>
          <w:sz w:val="32"/>
          <w:szCs w:val="32"/>
        </w:rPr>
        <w:t>或在同一届储蓄国债承销团存续期内发生两次超额度销售</w:t>
      </w:r>
      <w:r>
        <w:rPr>
          <w:rFonts w:hint="eastAsia" w:ascii="仿宋_GB2312"/>
          <w:sz w:val="32"/>
          <w:szCs w:val="32"/>
        </w:rPr>
        <w:t>储蓄国债</w:t>
      </w:r>
      <w:r>
        <w:rPr>
          <w:rFonts w:hint="eastAsia" w:ascii="仿宋_GB2312"/>
          <w:snapToGrid w:val="0"/>
          <w:kern w:val="0"/>
          <w:sz w:val="32"/>
          <w:szCs w:val="32"/>
        </w:rPr>
        <w:t>，财政部会同</w:t>
      </w:r>
      <w:r>
        <w:rPr>
          <w:rFonts w:hint="default" w:ascii="仿宋_GB2312"/>
          <w:snapToGrid w:val="0"/>
          <w:kern w:val="0"/>
          <w:sz w:val="32"/>
          <w:szCs w:val="32"/>
          <w:lang w:val="en"/>
        </w:rPr>
        <w:t>人民银行</w:t>
      </w:r>
      <w:r>
        <w:rPr>
          <w:rFonts w:hint="eastAsia" w:ascii="仿宋_GB2312"/>
          <w:snapToGrid w:val="0"/>
          <w:kern w:val="0"/>
          <w:sz w:val="32"/>
          <w:szCs w:val="32"/>
        </w:rPr>
        <w:t>通知其退出承销团。</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snapToGrid w:val="0"/>
          <w:kern w:val="0"/>
          <w:sz w:val="32"/>
          <w:szCs w:val="32"/>
        </w:rPr>
      </w:pPr>
      <w:r>
        <w:rPr>
          <w:rFonts w:hint="eastAsia" w:ascii="仿宋_GB2312"/>
          <w:b w:val="0"/>
          <w:bCs/>
          <w:snapToGrid w:val="0"/>
          <w:kern w:val="0"/>
          <w:sz w:val="32"/>
          <w:szCs w:val="32"/>
          <w:lang w:eastAsia="zh-CN"/>
        </w:rPr>
        <w:t>（二）</w:t>
      </w:r>
      <w:r>
        <w:rPr>
          <w:rFonts w:hint="eastAsia" w:ascii="仿宋_GB2312"/>
          <w:snapToGrid w:val="0"/>
          <w:kern w:val="0"/>
          <w:sz w:val="32"/>
          <w:szCs w:val="32"/>
        </w:rPr>
        <w:t>如承销团成员违反储蓄国债（凭证式）相关制度规定（超额度发行除外），并被财政部、</w:t>
      </w:r>
      <w:r>
        <w:rPr>
          <w:rFonts w:hint="default" w:ascii="仿宋_GB2312"/>
          <w:snapToGrid w:val="0"/>
          <w:kern w:val="0"/>
          <w:sz w:val="32"/>
          <w:szCs w:val="32"/>
          <w:lang w:val="en"/>
        </w:rPr>
        <w:t>人民银行</w:t>
      </w:r>
      <w:r>
        <w:rPr>
          <w:rFonts w:hint="eastAsia" w:ascii="仿宋_GB2312"/>
          <w:snapToGrid w:val="0"/>
          <w:kern w:val="0"/>
          <w:sz w:val="32"/>
          <w:szCs w:val="32"/>
        </w:rPr>
        <w:t>通报，该成员</w:t>
      </w:r>
      <w:r>
        <w:rPr>
          <w:rFonts w:hint="eastAsia" w:ascii="仿宋_GB2312"/>
          <w:snapToGrid w:val="0"/>
          <w:kern w:val="0"/>
          <w:sz w:val="32"/>
          <w:szCs w:val="32"/>
          <w:lang w:eastAsia="zh-CN"/>
        </w:rPr>
        <w:t>下一季度</w:t>
      </w:r>
      <w:r>
        <w:rPr>
          <w:rFonts w:hint="eastAsia" w:ascii="仿宋_GB2312"/>
          <w:snapToGrid w:val="0"/>
          <w:kern w:val="0"/>
          <w:sz w:val="32"/>
          <w:szCs w:val="32"/>
        </w:rPr>
        <w:t>储蓄国债（凭证式）代销额度</w:t>
      </w:r>
      <w:r>
        <w:rPr>
          <w:rFonts w:hint="eastAsia" w:ascii="仿宋_GB2312"/>
          <w:snapToGrid w:val="0"/>
          <w:kern w:val="0"/>
          <w:sz w:val="32"/>
          <w:szCs w:val="32"/>
          <w:lang w:eastAsia="zh-CN"/>
        </w:rPr>
        <w:t>不得调增</w:t>
      </w:r>
      <w:r>
        <w:rPr>
          <w:rFonts w:hint="eastAsia" w:ascii="仿宋_GB2312"/>
          <w:snapToGrid w:val="0"/>
          <w:kern w:val="0"/>
          <w:sz w:val="32"/>
          <w:szCs w:val="32"/>
        </w:rPr>
        <w:t>。</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snapToGrid w:val="0"/>
          <w:kern w:val="0"/>
          <w:sz w:val="32"/>
          <w:szCs w:val="32"/>
        </w:rPr>
      </w:pPr>
      <w:r>
        <w:rPr>
          <w:rFonts w:hint="eastAsia" w:ascii="仿宋_GB2312"/>
          <w:b w:val="0"/>
          <w:snapToGrid w:val="0"/>
          <w:kern w:val="0"/>
          <w:sz w:val="32"/>
          <w:szCs w:val="32"/>
          <w:lang w:eastAsia="zh-CN"/>
        </w:rPr>
        <w:t>（三）</w:t>
      </w:r>
      <w:r>
        <w:rPr>
          <w:rFonts w:hint="eastAsia" w:ascii="仿宋_GB2312"/>
          <w:snapToGrid w:val="0"/>
          <w:kern w:val="0"/>
          <w:sz w:val="32"/>
          <w:szCs w:val="32"/>
        </w:rPr>
        <w:t>如承销团成员</w:t>
      </w:r>
      <w:r>
        <w:rPr>
          <w:rFonts w:hint="eastAsia" w:ascii="仿宋_GB2312"/>
          <w:sz w:val="32"/>
          <w:szCs w:val="32"/>
        </w:rPr>
        <w:t>超额度销售储蓄国债（</w:t>
      </w:r>
      <w:r>
        <w:rPr>
          <w:rFonts w:hint="eastAsia" w:ascii="仿宋_GB2312"/>
          <w:sz w:val="32"/>
          <w:szCs w:val="32"/>
          <w:lang w:eastAsia="zh-CN"/>
        </w:rPr>
        <w:t>电子</w:t>
      </w:r>
      <w:r>
        <w:rPr>
          <w:rFonts w:hint="eastAsia" w:ascii="仿宋_GB2312"/>
          <w:sz w:val="32"/>
          <w:szCs w:val="32"/>
        </w:rPr>
        <w:t>式）</w:t>
      </w:r>
      <w:r>
        <w:rPr>
          <w:rFonts w:hint="eastAsia" w:ascii="仿宋_GB2312"/>
          <w:sz w:val="32"/>
          <w:szCs w:val="32"/>
          <w:lang w:eastAsia="zh-CN"/>
        </w:rPr>
        <w:t>，并及时更正，未造成当期储蓄国债（电子式）</w:t>
      </w:r>
      <w:r>
        <w:rPr>
          <w:rFonts w:hint="default" w:ascii="仿宋_GB2312"/>
          <w:sz w:val="32"/>
          <w:szCs w:val="32"/>
          <w:lang w:val="en" w:eastAsia="zh-CN"/>
        </w:rPr>
        <w:t>超额度发行</w:t>
      </w:r>
      <w:r>
        <w:rPr>
          <w:rFonts w:hint="eastAsia" w:ascii="仿宋_GB2312"/>
          <w:sz w:val="32"/>
          <w:szCs w:val="32"/>
          <w:lang w:eastAsia="zh-CN"/>
        </w:rPr>
        <w:t>，</w:t>
      </w:r>
      <w:r>
        <w:rPr>
          <w:rFonts w:hint="eastAsia" w:ascii="仿宋_GB2312"/>
          <w:snapToGrid w:val="0"/>
          <w:kern w:val="0"/>
          <w:sz w:val="32"/>
          <w:szCs w:val="32"/>
        </w:rPr>
        <w:t>该成员</w:t>
      </w:r>
      <w:r>
        <w:rPr>
          <w:rFonts w:hint="eastAsia" w:ascii="仿宋_GB2312"/>
          <w:snapToGrid w:val="0"/>
          <w:kern w:val="0"/>
          <w:sz w:val="32"/>
          <w:szCs w:val="32"/>
          <w:lang w:eastAsia="zh-CN"/>
        </w:rPr>
        <w:t>下一季度</w:t>
      </w:r>
      <w:r>
        <w:rPr>
          <w:rFonts w:hint="eastAsia" w:ascii="仿宋_GB2312"/>
          <w:snapToGrid w:val="0"/>
          <w:kern w:val="0"/>
          <w:sz w:val="32"/>
          <w:szCs w:val="32"/>
        </w:rPr>
        <w:t>储蓄国债（凭证式）代销额度</w:t>
      </w:r>
      <w:r>
        <w:rPr>
          <w:rFonts w:hint="eastAsia" w:ascii="仿宋_GB2312"/>
          <w:snapToGrid w:val="0"/>
          <w:kern w:val="0"/>
          <w:sz w:val="32"/>
          <w:szCs w:val="32"/>
          <w:lang w:eastAsia="zh-CN"/>
        </w:rPr>
        <w:t>不得调增</w:t>
      </w:r>
      <w:r>
        <w:rPr>
          <w:rFonts w:hint="eastAsia" w:ascii="仿宋_GB2312"/>
          <w:snapToGrid w:val="0"/>
          <w:kern w:val="0"/>
          <w:sz w:val="32"/>
          <w:szCs w:val="32"/>
        </w:rPr>
        <w:t>。</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ascii="仿宋_GB2312"/>
          <w:snapToGrid w:val="0"/>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黑体" w:eastAsia="黑体"/>
          <w:sz w:val="32"/>
          <w:szCs w:val="32"/>
        </w:rPr>
      </w:pPr>
      <w:r>
        <w:rPr>
          <w:rFonts w:hint="eastAsia" w:ascii="黑体" w:eastAsia="黑体"/>
          <w:sz w:val="32"/>
          <w:szCs w:val="32"/>
        </w:rPr>
        <w:t>第四章 附则</w:t>
      </w:r>
    </w:p>
    <w:p>
      <w:pPr>
        <w:keepNext w:val="0"/>
        <w:keepLines w:val="0"/>
        <w:pageBreakBefore w:val="0"/>
        <w:kinsoku/>
        <w:wordWrap/>
        <w:overflowPunct/>
        <w:topLinePunct w:val="0"/>
        <w:autoSpaceDE/>
        <w:autoSpaceDN/>
        <w:bidi w:val="0"/>
        <w:adjustRightInd w:val="0"/>
        <w:snapToGrid w:val="0"/>
        <w:spacing w:line="360" w:lineRule="auto"/>
        <w:ind w:firstLine="642" w:firstLineChars="200"/>
        <w:textAlignment w:val="auto"/>
        <w:rPr>
          <w:rFonts w:ascii="仿宋_GB2312"/>
          <w:snapToGrid w:val="0"/>
          <w:kern w:val="0"/>
          <w:sz w:val="32"/>
          <w:szCs w:val="32"/>
        </w:rPr>
      </w:pPr>
      <w:r>
        <w:rPr>
          <w:rFonts w:hint="eastAsia" w:ascii="仿宋_GB2312"/>
          <w:b/>
          <w:snapToGrid w:val="0"/>
          <w:kern w:val="0"/>
          <w:sz w:val="32"/>
          <w:szCs w:val="32"/>
        </w:rPr>
        <w:t>第二十</w:t>
      </w:r>
      <w:r>
        <w:rPr>
          <w:rFonts w:hint="eastAsia" w:ascii="仿宋_GB2312"/>
          <w:b/>
          <w:snapToGrid w:val="0"/>
          <w:kern w:val="0"/>
          <w:sz w:val="32"/>
          <w:szCs w:val="32"/>
          <w:lang w:eastAsia="zh-CN"/>
        </w:rPr>
        <w:t>一</w:t>
      </w:r>
      <w:r>
        <w:rPr>
          <w:rFonts w:hint="eastAsia" w:ascii="仿宋_GB2312"/>
          <w:b/>
          <w:snapToGrid w:val="0"/>
          <w:kern w:val="0"/>
          <w:sz w:val="32"/>
          <w:szCs w:val="32"/>
        </w:rPr>
        <w:t>条</w:t>
      </w:r>
      <w:r>
        <w:rPr>
          <w:rFonts w:hint="eastAsia" w:ascii="仿宋_GB2312"/>
          <w:snapToGrid w:val="0"/>
          <w:kern w:val="0"/>
          <w:sz w:val="32"/>
          <w:szCs w:val="32"/>
          <w:lang w:val="en-US" w:eastAsia="zh-CN"/>
        </w:rPr>
        <w:t xml:space="preserve"> </w:t>
      </w:r>
      <w:r>
        <w:rPr>
          <w:rFonts w:hint="eastAsia" w:ascii="仿宋_GB2312"/>
          <w:snapToGrid w:val="0"/>
          <w:kern w:val="0"/>
          <w:sz w:val="32"/>
          <w:szCs w:val="32"/>
        </w:rPr>
        <w:t>本办法由财政部会同</w:t>
      </w:r>
      <w:r>
        <w:rPr>
          <w:rFonts w:hint="default" w:ascii="仿宋_GB2312"/>
          <w:snapToGrid w:val="0"/>
          <w:kern w:val="0"/>
          <w:sz w:val="32"/>
          <w:szCs w:val="32"/>
          <w:lang w:val="en"/>
        </w:rPr>
        <w:t>人民银行</w:t>
      </w:r>
      <w:r>
        <w:rPr>
          <w:rFonts w:hint="eastAsia" w:ascii="仿宋_GB2312"/>
          <w:snapToGrid w:val="0"/>
          <w:kern w:val="0"/>
          <w:sz w:val="32"/>
          <w:szCs w:val="32"/>
        </w:rPr>
        <w:t>负责解释。</w:t>
      </w:r>
    </w:p>
    <w:p>
      <w:pPr>
        <w:keepNext w:val="0"/>
        <w:keepLines w:val="0"/>
        <w:pageBreakBefore w:val="0"/>
        <w:kinsoku/>
        <w:wordWrap/>
        <w:overflowPunct/>
        <w:topLinePunct w:val="0"/>
        <w:autoSpaceDE/>
        <w:autoSpaceDN/>
        <w:bidi w:val="0"/>
        <w:adjustRightInd w:val="0"/>
        <w:snapToGrid w:val="0"/>
        <w:spacing w:line="360" w:lineRule="auto"/>
        <w:ind w:firstLine="642" w:firstLineChars="200"/>
        <w:textAlignment w:val="auto"/>
        <w:rPr>
          <w:rFonts w:ascii="仿宋_GB2312"/>
          <w:snapToGrid w:val="0"/>
          <w:kern w:val="0"/>
          <w:sz w:val="32"/>
          <w:szCs w:val="32"/>
        </w:rPr>
      </w:pPr>
      <w:r>
        <w:rPr>
          <w:rFonts w:hint="eastAsia" w:ascii="仿宋_GB2312"/>
          <w:b/>
          <w:snapToGrid w:val="0"/>
          <w:kern w:val="0"/>
          <w:sz w:val="32"/>
          <w:szCs w:val="32"/>
        </w:rPr>
        <w:t>第二十</w:t>
      </w:r>
      <w:r>
        <w:rPr>
          <w:rFonts w:hint="eastAsia" w:ascii="仿宋_GB2312"/>
          <w:b/>
          <w:snapToGrid w:val="0"/>
          <w:kern w:val="0"/>
          <w:sz w:val="32"/>
          <w:szCs w:val="32"/>
          <w:lang w:eastAsia="zh-CN"/>
        </w:rPr>
        <w:t>二</w:t>
      </w:r>
      <w:r>
        <w:rPr>
          <w:rFonts w:hint="eastAsia" w:ascii="仿宋_GB2312"/>
          <w:b/>
          <w:snapToGrid w:val="0"/>
          <w:kern w:val="0"/>
          <w:sz w:val="32"/>
          <w:szCs w:val="32"/>
        </w:rPr>
        <w:t>条</w:t>
      </w:r>
      <w:r>
        <w:rPr>
          <w:rFonts w:hint="eastAsia" w:ascii="仿宋_GB2312"/>
          <w:snapToGrid w:val="0"/>
          <w:kern w:val="0"/>
          <w:sz w:val="32"/>
          <w:szCs w:val="32"/>
          <w:lang w:val="en-US" w:eastAsia="zh-CN"/>
        </w:rPr>
        <w:t xml:space="preserve"> </w:t>
      </w:r>
      <w:r>
        <w:rPr>
          <w:rFonts w:hint="eastAsia" w:ascii="仿宋_GB2312"/>
          <w:snapToGrid w:val="0"/>
          <w:kern w:val="0"/>
          <w:sz w:val="32"/>
          <w:szCs w:val="32"/>
        </w:rPr>
        <w:t>本办法自印发之日起实施。</w:t>
      </w:r>
    </w:p>
    <w:sectPr>
      <w:footerReference r:id="rId3" w:type="default"/>
      <w:pgSz w:w="11906" w:h="16838"/>
      <w:pgMar w:top="1701" w:right="1800" w:bottom="1701" w:left="1800" w:header="851" w:footer="992" w:gutter="0"/>
      <w:pgNumType w:start="1" w:chapStyle="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DejaVu Math TeX Gyre">
    <w:panose1 w:val="02000503000000000000"/>
    <w:charset w:val="00"/>
    <w:family w:val="auto"/>
    <w:pitch w:val="default"/>
    <w:sig w:usb0="A10000EF" w:usb1="4201F9EE" w:usb2="02000000" w:usb3="00000000" w:csb0="60000193" w:csb1="0DD4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8</w:t>
    </w:r>
    <w:r>
      <w:rPr>
        <w:rStyle w:val="7"/>
      </w:rPr>
      <w:fldChar w:fldCharType="end"/>
    </w:r>
  </w:p>
  <w:p>
    <w:pPr>
      <w:pStyle w:val="3"/>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A9A"/>
    <w:rsid w:val="00000D47"/>
    <w:rsid w:val="0000254E"/>
    <w:rsid w:val="00003AE7"/>
    <w:rsid w:val="000043C5"/>
    <w:rsid w:val="00004E8B"/>
    <w:rsid w:val="000062E9"/>
    <w:rsid w:val="00011FA3"/>
    <w:rsid w:val="00012A0D"/>
    <w:rsid w:val="00013E79"/>
    <w:rsid w:val="00014F86"/>
    <w:rsid w:val="000173D2"/>
    <w:rsid w:val="00030E04"/>
    <w:rsid w:val="00031E95"/>
    <w:rsid w:val="00032050"/>
    <w:rsid w:val="000338C4"/>
    <w:rsid w:val="00042DCF"/>
    <w:rsid w:val="00044012"/>
    <w:rsid w:val="0004714A"/>
    <w:rsid w:val="000550C0"/>
    <w:rsid w:val="0005687B"/>
    <w:rsid w:val="00057207"/>
    <w:rsid w:val="000630D0"/>
    <w:rsid w:val="00065E8A"/>
    <w:rsid w:val="000722FE"/>
    <w:rsid w:val="00074473"/>
    <w:rsid w:val="00082C36"/>
    <w:rsid w:val="00083145"/>
    <w:rsid w:val="00092300"/>
    <w:rsid w:val="0009499C"/>
    <w:rsid w:val="00096281"/>
    <w:rsid w:val="0009697A"/>
    <w:rsid w:val="00096CAA"/>
    <w:rsid w:val="00096D43"/>
    <w:rsid w:val="000A34AC"/>
    <w:rsid w:val="000A5761"/>
    <w:rsid w:val="000A7E5A"/>
    <w:rsid w:val="000B43A5"/>
    <w:rsid w:val="000B4A80"/>
    <w:rsid w:val="000B50D5"/>
    <w:rsid w:val="000C1C1E"/>
    <w:rsid w:val="000C36A8"/>
    <w:rsid w:val="000C68CC"/>
    <w:rsid w:val="000C7E6F"/>
    <w:rsid w:val="000D24E1"/>
    <w:rsid w:val="000D2F34"/>
    <w:rsid w:val="000D41C6"/>
    <w:rsid w:val="000D4D60"/>
    <w:rsid w:val="000D6CBE"/>
    <w:rsid w:val="000E1742"/>
    <w:rsid w:val="000E292E"/>
    <w:rsid w:val="000E44E3"/>
    <w:rsid w:val="000E5497"/>
    <w:rsid w:val="000F2440"/>
    <w:rsid w:val="000F47B4"/>
    <w:rsid w:val="00101906"/>
    <w:rsid w:val="0010741F"/>
    <w:rsid w:val="001116D5"/>
    <w:rsid w:val="0011255D"/>
    <w:rsid w:val="001135C7"/>
    <w:rsid w:val="00122CE9"/>
    <w:rsid w:val="00124CF0"/>
    <w:rsid w:val="001262E2"/>
    <w:rsid w:val="00127CFC"/>
    <w:rsid w:val="00131FFE"/>
    <w:rsid w:val="001321D2"/>
    <w:rsid w:val="00134110"/>
    <w:rsid w:val="00140EFC"/>
    <w:rsid w:val="0014239D"/>
    <w:rsid w:val="00150B19"/>
    <w:rsid w:val="00153A74"/>
    <w:rsid w:val="00155E9A"/>
    <w:rsid w:val="00160DB9"/>
    <w:rsid w:val="001613B1"/>
    <w:rsid w:val="001664D7"/>
    <w:rsid w:val="00166A22"/>
    <w:rsid w:val="00166DA3"/>
    <w:rsid w:val="00166E4D"/>
    <w:rsid w:val="001674C6"/>
    <w:rsid w:val="00171985"/>
    <w:rsid w:val="00173DE8"/>
    <w:rsid w:val="00174ADB"/>
    <w:rsid w:val="00175508"/>
    <w:rsid w:val="001756EA"/>
    <w:rsid w:val="00176B41"/>
    <w:rsid w:val="00185807"/>
    <w:rsid w:val="00186ADB"/>
    <w:rsid w:val="00190A1E"/>
    <w:rsid w:val="0019275D"/>
    <w:rsid w:val="00194C46"/>
    <w:rsid w:val="00195492"/>
    <w:rsid w:val="00195571"/>
    <w:rsid w:val="001957D4"/>
    <w:rsid w:val="001961CE"/>
    <w:rsid w:val="0019669D"/>
    <w:rsid w:val="001A0467"/>
    <w:rsid w:val="001A4B6D"/>
    <w:rsid w:val="001B11E4"/>
    <w:rsid w:val="001B2312"/>
    <w:rsid w:val="001B3CB5"/>
    <w:rsid w:val="001B42B8"/>
    <w:rsid w:val="001B439C"/>
    <w:rsid w:val="001B5674"/>
    <w:rsid w:val="001B786A"/>
    <w:rsid w:val="001C6FE2"/>
    <w:rsid w:val="001D2069"/>
    <w:rsid w:val="001D2BEC"/>
    <w:rsid w:val="001D49FF"/>
    <w:rsid w:val="001D4FB2"/>
    <w:rsid w:val="001E07EC"/>
    <w:rsid w:val="001E224D"/>
    <w:rsid w:val="001E28B4"/>
    <w:rsid w:val="001E579E"/>
    <w:rsid w:val="001F17E0"/>
    <w:rsid w:val="001F4ABE"/>
    <w:rsid w:val="0020434F"/>
    <w:rsid w:val="00212A0F"/>
    <w:rsid w:val="00215F5C"/>
    <w:rsid w:val="00216547"/>
    <w:rsid w:val="0022197D"/>
    <w:rsid w:val="00222899"/>
    <w:rsid w:val="00224A73"/>
    <w:rsid w:val="00225024"/>
    <w:rsid w:val="00225D66"/>
    <w:rsid w:val="00230409"/>
    <w:rsid w:val="00232AC9"/>
    <w:rsid w:val="00235788"/>
    <w:rsid w:val="0023759F"/>
    <w:rsid w:val="00244318"/>
    <w:rsid w:val="0024567A"/>
    <w:rsid w:val="0025080D"/>
    <w:rsid w:val="00251228"/>
    <w:rsid w:val="00251867"/>
    <w:rsid w:val="00251A35"/>
    <w:rsid w:val="00252C32"/>
    <w:rsid w:val="00254224"/>
    <w:rsid w:val="0025455C"/>
    <w:rsid w:val="00256D14"/>
    <w:rsid w:val="00262494"/>
    <w:rsid w:val="0026791B"/>
    <w:rsid w:val="00282560"/>
    <w:rsid w:val="00283346"/>
    <w:rsid w:val="0029134D"/>
    <w:rsid w:val="00294FDF"/>
    <w:rsid w:val="0029783F"/>
    <w:rsid w:val="002A024D"/>
    <w:rsid w:val="002A0612"/>
    <w:rsid w:val="002A379E"/>
    <w:rsid w:val="002A7B5F"/>
    <w:rsid w:val="002B0271"/>
    <w:rsid w:val="002B41F5"/>
    <w:rsid w:val="002B4A24"/>
    <w:rsid w:val="002B6E77"/>
    <w:rsid w:val="002C30A6"/>
    <w:rsid w:val="002C5B09"/>
    <w:rsid w:val="002C608E"/>
    <w:rsid w:val="002C7082"/>
    <w:rsid w:val="002D0A13"/>
    <w:rsid w:val="002D1271"/>
    <w:rsid w:val="002D4619"/>
    <w:rsid w:val="002D713F"/>
    <w:rsid w:val="002D7299"/>
    <w:rsid w:val="002D7A16"/>
    <w:rsid w:val="002D7F03"/>
    <w:rsid w:val="002E0053"/>
    <w:rsid w:val="002E1215"/>
    <w:rsid w:val="002E48BD"/>
    <w:rsid w:val="002E6935"/>
    <w:rsid w:val="002E6962"/>
    <w:rsid w:val="002E7EDC"/>
    <w:rsid w:val="002F5AEC"/>
    <w:rsid w:val="002F6339"/>
    <w:rsid w:val="002F6523"/>
    <w:rsid w:val="003034CA"/>
    <w:rsid w:val="00311F84"/>
    <w:rsid w:val="00317890"/>
    <w:rsid w:val="0032254B"/>
    <w:rsid w:val="00322FBA"/>
    <w:rsid w:val="00324178"/>
    <w:rsid w:val="00326E20"/>
    <w:rsid w:val="003275E3"/>
    <w:rsid w:val="0032783A"/>
    <w:rsid w:val="00335294"/>
    <w:rsid w:val="00335AD6"/>
    <w:rsid w:val="003402B0"/>
    <w:rsid w:val="00341A9A"/>
    <w:rsid w:val="00341E07"/>
    <w:rsid w:val="00342218"/>
    <w:rsid w:val="003507DE"/>
    <w:rsid w:val="00350E3F"/>
    <w:rsid w:val="003530DA"/>
    <w:rsid w:val="003543DF"/>
    <w:rsid w:val="00356CE2"/>
    <w:rsid w:val="00363396"/>
    <w:rsid w:val="003657D1"/>
    <w:rsid w:val="00366410"/>
    <w:rsid w:val="0036732B"/>
    <w:rsid w:val="00367623"/>
    <w:rsid w:val="00370403"/>
    <w:rsid w:val="00374303"/>
    <w:rsid w:val="0037675D"/>
    <w:rsid w:val="003848D8"/>
    <w:rsid w:val="003865D1"/>
    <w:rsid w:val="00387A30"/>
    <w:rsid w:val="003911DB"/>
    <w:rsid w:val="003911EE"/>
    <w:rsid w:val="0039122B"/>
    <w:rsid w:val="0039511D"/>
    <w:rsid w:val="00396407"/>
    <w:rsid w:val="003967FC"/>
    <w:rsid w:val="0039774F"/>
    <w:rsid w:val="003A0252"/>
    <w:rsid w:val="003A5D5B"/>
    <w:rsid w:val="003A6C6F"/>
    <w:rsid w:val="003B19DE"/>
    <w:rsid w:val="003B3BE8"/>
    <w:rsid w:val="003B425A"/>
    <w:rsid w:val="003B5FB5"/>
    <w:rsid w:val="003C1571"/>
    <w:rsid w:val="003C17C4"/>
    <w:rsid w:val="003C229D"/>
    <w:rsid w:val="003C2CCC"/>
    <w:rsid w:val="003C32CB"/>
    <w:rsid w:val="003C388E"/>
    <w:rsid w:val="003C3D21"/>
    <w:rsid w:val="003C3D78"/>
    <w:rsid w:val="003C5BAE"/>
    <w:rsid w:val="003C7ABD"/>
    <w:rsid w:val="003D2AB8"/>
    <w:rsid w:val="003D4F81"/>
    <w:rsid w:val="003E0202"/>
    <w:rsid w:val="003E0B76"/>
    <w:rsid w:val="003E14B9"/>
    <w:rsid w:val="003E24AC"/>
    <w:rsid w:val="003E257F"/>
    <w:rsid w:val="003E474F"/>
    <w:rsid w:val="003F307E"/>
    <w:rsid w:val="00402551"/>
    <w:rsid w:val="004044C6"/>
    <w:rsid w:val="004051FF"/>
    <w:rsid w:val="00405EF6"/>
    <w:rsid w:val="0040638C"/>
    <w:rsid w:val="00415136"/>
    <w:rsid w:val="00415A20"/>
    <w:rsid w:val="00422624"/>
    <w:rsid w:val="00426AFE"/>
    <w:rsid w:val="004326A3"/>
    <w:rsid w:val="00434CF0"/>
    <w:rsid w:val="00444395"/>
    <w:rsid w:val="00444F41"/>
    <w:rsid w:val="004510EC"/>
    <w:rsid w:val="004517A1"/>
    <w:rsid w:val="00452868"/>
    <w:rsid w:val="00455FBF"/>
    <w:rsid w:val="00460275"/>
    <w:rsid w:val="00464942"/>
    <w:rsid w:val="00465034"/>
    <w:rsid w:val="00466B1C"/>
    <w:rsid w:val="00470866"/>
    <w:rsid w:val="0047126A"/>
    <w:rsid w:val="0047527D"/>
    <w:rsid w:val="00476A70"/>
    <w:rsid w:val="00481AB8"/>
    <w:rsid w:val="004839E3"/>
    <w:rsid w:val="00483AE5"/>
    <w:rsid w:val="00490732"/>
    <w:rsid w:val="00493AC0"/>
    <w:rsid w:val="00494661"/>
    <w:rsid w:val="004A2D5A"/>
    <w:rsid w:val="004A35F3"/>
    <w:rsid w:val="004A40D9"/>
    <w:rsid w:val="004B0386"/>
    <w:rsid w:val="004B2064"/>
    <w:rsid w:val="004B2094"/>
    <w:rsid w:val="004B218F"/>
    <w:rsid w:val="004B28F1"/>
    <w:rsid w:val="004B6A35"/>
    <w:rsid w:val="004B6AF2"/>
    <w:rsid w:val="004C09E2"/>
    <w:rsid w:val="004C2674"/>
    <w:rsid w:val="004C2A28"/>
    <w:rsid w:val="004C3E5B"/>
    <w:rsid w:val="004C6148"/>
    <w:rsid w:val="004D1C82"/>
    <w:rsid w:val="004D4645"/>
    <w:rsid w:val="004D7D9F"/>
    <w:rsid w:val="004F0748"/>
    <w:rsid w:val="004F1D01"/>
    <w:rsid w:val="004F303B"/>
    <w:rsid w:val="004F3275"/>
    <w:rsid w:val="004F45AC"/>
    <w:rsid w:val="004F45E7"/>
    <w:rsid w:val="004F4CEB"/>
    <w:rsid w:val="00503034"/>
    <w:rsid w:val="005049BD"/>
    <w:rsid w:val="00506ED8"/>
    <w:rsid w:val="00513632"/>
    <w:rsid w:val="00515CA4"/>
    <w:rsid w:val="00521203"/>
    <w:rsid w:val="00521467"/>
    <w:rsid w:val="00522B01"/>
    <w:rsid w:val="00523C17"/>
    <w:rsid w:val="005254FB"/>
    <w:rsid w:val="00531236"/>
    <w:rsid w:val="00531BA5"/>
    <w:rsid w:val="005344EF"/>
    <w:rsid w:val="00535124"/>
    <w:rsid w:val="0053548C"/>
    <w:rsid w:val="00537CEB"/>
    <w:rsid w:val="005436E2"/>
    <w:rsid w:val="00543BB3"/>
    <w:rsid w:val="00543C66"/>
    <w:rsid w:val="00543E18"/>
    <w:rsid w:val="00550E6A"/>
    <w:rsid w:val="00551EF3"/>
    <w:rsid w:val="005521BC"/>
    <w:rsid w:val="0055260E"/>
    <w:rsid w:val="005528A9"/>
    <w:rsid w:val="00552B04"/>
    <w:rsid w:val="00556B6F"/>
    <w:rsid w:val="005606AE"/>
    <w:rsid w:val="00561276"/>
    <w:rsid w:val="00566045"/>
    <w:rsid w:val="00566E29"/>
    <w:rsid w:val="00567779"/>
    <w:rsid w:val="0057129F"/>
    <w:rsid w:val="005807E4"/>
    <w:rsid w:val="0058231E"/>
    <w:rsid w:val="00584555"/>
    <w:rsid w:val="00586C0D"/>
    <w:rsid w:val="005872CB"/>
    <w:rsid w:val="00592D0B"/>
    <w:rsid w:val="005940A3"/>
    <w:rsid w:val="00596F25"/>
    <w:rsid w:val="005A0AA5"/>
    <w:rsid w:val="005A3714"/>
    <w:rsid w:val="005A434E"/>
    <w:rsid w:val="005A4CBE"/>
    <w:rsid w:val="005A52F5"/>
    <w:rsid w:val="005A6CE0"/>
    <w:rsid w:val="005B3F27"/>
    <w:rsid w:val="005B483E"/>
    <w:rsid w:val="005C0B13"/>
    <w:rsid w:val="005C3538"/>
    <w:rsid w:val="005C6F5F"/>
    <w:rsid w:val="005C7B58"/>
    <w:rsid w:val="005D0A0F"/>
    <w:rsid w:val="005D0E05"/>
    <w:rsid w:val="005D4425"/>
    <w:rsid w:val="005D5390"/>
    <w:rsid w:val="005D5856"/>
    <w:rsid w:val="005D6C1B"/>
    <w:rsid w:val="005E07CE"/>
    <w:rsid w:val="005E65A4"/>
    <w:rsid w:val="005E7306"/>
    <w:rsid w:val="005F0CA5"/>
    <w:rsid w:val="005F3744"/>
    <w:rsid w:val="005F5BEC"/>
    <w:rsid w:val="0060012E"/>
    <w:rsid w:val="00600DE6"/>
    <w:rsid w:val="0060140F"/>
    <w:rsid w:val="0060213F"/>
    <w:rsid w:val="006052FA"/>
    <w:rsid w:val="0060633E"/>
    <w:rsid w:val="00610052"/>
    <w:rsid w:val="006215D1"/>
    <w:rsid w:val="00623C74"/>
    <w:rsid w:val="00627DC3"/>
    <w:rsid w:val="006351DB"/>
    <w:rsid w:val="00636FE2"/>
    <w:rsid w:val="00641D6A"/>
    <w:rsid w:val="00644943"/>
    <w:rsid w:val="0064644B"/>
    <w:rsid w:val="00651903"/>
    <w:rsid w:val="00652EE4"/>
    <w:rsid w:val="00653CEC"/>
    <w:rsid w:val="00655BD5"/>
    <w:rsid w:val="00656228"/>
    <w:rsid w:val="006578F6"/>
    <w:rsid w:val="00660229"/>
    <w:rsid w:val="006605DF"/>
    <w:rsid w:val="006606D4"/>
    <w:rsid w:val="0066072F"/>
    <w:rsid w:val="00662078"/>
    <w:rsid w:val="00662A95"/>
    <w:rsid w:val="00666A47"/>
    <w:rsid w:val="006672A8"/>
    <w:rsid w:val="00673DF3"/>
    <w:rsid w:val="00677F0E"/>
    <w:rsid w:val="00682F60"/>
    <w:rsid w:val="006854ED"/>
    <w:rsid w:val="00687D50"/>
    <w:rsid w:val="00687E72"/>
    <w:rsid w:val="00690024"/>
    <w:rsid w:val="006913F7"/>
    <w:rsid w:val="0069169B"/>
    <w:rsid w:val="00691D0A"/>
    <w:rsid w:val="00691E25"/>
    <w:rsid w:val="006950CA"/>
    <w:rsid w:val="00695AFE"/>
    <w:rsid w:val="00696132"/>
    <w:rsid w:val="006A3175"/>
    <w:rsid w:val="006A6380"/>
    <w:rsid w:val="006A682D"/>
    <w:rsid w:val="006A6D67"/>
    <w:rsid w:val="006B6343"/>
    <w:rsid w:val="006B6E5F"/>
    <w:rsid w:val="006C0C9C"/>
    <w:rsid w:val="006C1F67"/>
    <w:rsid w:val="006C297C"/>
    <w:rsid w:val="006C5D2B"/>
    <w:rsid w:val="006D3FF1"/>
    <w:rsid w:val="006D56CE"/>
    <w:rsid w:val="006E0D6B"/>
    <w:rsid w:val="006E3196"/>
    <w:rsid w:val="006E34E6"/>
    <w:rsid w:val="006E3DBA"/>
    <w:rsid w:val="006E5A32"/>
    <w:rsid w:val="006E5A76"/>
    <w:rsid w:val="006F1710"/>
    <w:rsid w:val="006F659B"/>
    <w:rsid w:val="00703245"/>
    <w:rsid w:val="00703C98"/>
    <w:rsid w:val="0070571A"/>
    <w:rsid w:val="00705D49"/>
    <w:rsid w:val="00712959"/>
    <w:rsid w:val="00712B27"/>
    <w:rsid w:val="007132A2"/>
    <w:rsid w:val="00717658"/>
    <w:rsid w:val="00717660"/>
    <w:rsid w:val="00717B71"/>
    <w:rsid w:val="00723EEE"/>
    <w:rsid w:val="0072408F"/>
    <w:rsid w:val="00724E14"/>
    <w:rsid w:val="0073091F"/>
    <w:rsid w:val="00731182"/>
    <w:rsid w:val="007334FC"/>
    <w:rsid w:val="00733B9E"/>
    <w:rsid w:val="00736CBA"/>
    <w:rsid w:val="0075160D"/>
    <w:rsid w:val="0075193F"/>
    <w:rsid w:val="00752F81"/>
    <w:rsid w:val="00753DCE"/>
    <w:rsid w:val="007549F6"/>
    <w:rsid w:val="00754CAB"/>
    <w:rsid w:val="00761470"/>
    <w:rsid w:val="0076220F"/>
    <w:rsid w:val="007714D7"/>
    <w:rsid w:val="00773863"/>
    <w:rsid w:val="0077528B"/>
    <w:rsid w:val="00782EDD"/>
    <w:rsid w:val="00787A47"/>
    <w:rsid w:val="00792DB7"/>
    <w:rsid w:val="007A0431"/>
    <w:rsid w:val="007A309F"/>
    <w:rsid w:val="007B2C69"/>
    <w:rsid w:val="007B47D0"/>
    <w:rsid w:val="007C2270"/>
    <w:rsid w:val="007C2D7E"/>
    <w:rsid w:val="007C4299"/>
    <w:rsid w:val="007C431B"/>
    <w:rsid w:val="007C6A6B"/>
    <w:rsid w:val="007C7482"/>
    <w:rsid w:val="007D0FAF"/>
    <w:rsid w:val="007D58E3"/>
    <w:rsid w:val="007D5AD9"/>
    <w:rsid w:val="007D68B8"/>
    <w:rsid w:val="007E2F42"/>
    <w:rsid w:val="007E616A"/>
    <w:rsid w:val="007F1BFE"/>
    <w:rsid w:val="007F3C3A"/>
    <w:rsid w:val="007F3DE7"/>
    <w:rsid w:val="007F50FF"/>
    <w:rsid w:val="00801CAD"/>
    <w:rsid w:val="00806331"/>
    <w:rsid w:val="00807B7B"/>
    <w:rsid w:val="00817BD4"/>
    <w:rsid w:val="00825AE9"/>
    <w:rsid w:val="008277A0"/>
    <w:rsid w:val="0083133C"/>
    <w:rsid w:val="00831B02"/>
    <w:rsid w:val="00840B86"/>
    <w:rsid w:val="00841993"/>
    <w:rsid w:val="00843EF3"/>
    <w:rsid w:val="00852FA4"/>
    <w:rsid w:val="0086165A"/>
    <w:rsid w:val="0086314B"/>
    <w:rsid w:val="008650B8"/>
    <w:rsid w:val="008650E8"/>
    <w:rsid w:val="008679D0"/>
    <w:rsid w:val="00867CF8"/>
    <w:rsid w:val="00871112"/>
    <w:rsid w:val="00871308"/>
    <w:rsid w:val="0087194E"/>
    <w:rsid w:val="00871F64"/>
    <w:rsid w:val="008723A1"/>
    <w:rsid w:val="008741A1"/>
    <w:rsid w:val="008758D3"/>
    <w:rsid w:val="00876266"/>
    <w:rsid w:val="0087715B"/>
    <w:rsid w:val="0087744F"/>
    <w:rsid w:val="00877631"/>
    <w:rsid w:val="00883D49"/>
    <w:rsid w:val="008879C8"/>
    <w:rsid w:val="00887BF0"/>
    <w:rsid w:val="00892C1E"/>
    <w:rsid w:val="00892D18"/>
    <w:rsid w:val="0089384C"/>
    <w:rsid w:val="008949B7"/>
    <w:rsid w:val="00894F28"/>
    <w:rsid w:val="00895317"/>
    <w:rsid w:val="00897A22"/>
    <w:rsid w:val="008A03AE"/>
    <w:rsid w:val="008A4A85"/>
    <w:rsid w:val="008A6CF4"/>
    <w:rsid w:val="008B2EFC"/>
    <w:rsid w:val="008B7347"/>
    <w:rsid w:val="008C4F18"/>
    <w:rsid w:val="008D548C"/>
    <w:rsid w:val="008D5DB1"/>
    <w:rsid w:val="008D77D9"/>
    <w:rsid w:val="008E0899"/>
    <w:rsid w:val="008E1B03"/>
    <w:rsid w:val="008E43AB"/>
    <w:rsid w:val="008F1389"/>
    <w:rsid w:val="008F567C"/>
    <w:rsid w:val="008F57ED"/>
    <w:rsid w:val="00900467"/>
    <w:rsid w:val="0090089B"/>
    <w:rsid w:val="00901649"/>
    <w:rsid w:val="00901AA1"/>
    <w:rsid w:val="00901DB0"/>
    <w:rsid w:val="009058C1"/>
    <w:rsid w:val="0090625F"/>
    <w:rsid w:val="00906E34"/>
    <w:rsid w:val="00907908"/>
    <w:rsid w:val="009117B4"/>
    <w:rsid w:val="00913F13"/>
    <w:rsid w:val="00922D8E"/>
    <w:rsid w:val="00923639"/>
    <w:rsid w:val="00924F6C"/>
    <w:rsid w:val="00926F14"/>
    <w:rsid w:val="009302B7"/>
    <w:rsid w:val="009312DD"/>
    <w:rsid w:val="009331D2"/>
    <w:rsid w:val="00936479"/>
    <w:rsid w:val="00937173"/>
    <w:rsid w:val="00942AFC"/>
    <w:rsid w:val="00943A73"/>
    <w:rsid w:val="00946C2A"/>
    <w:rsid w:val="00950167"/>
    <w:rsid w:val="00950435"/>
    <w:rsid w:val="009570CC"/>
    <w:rsid w:val="00962E9D"/>
    <w:rsid w:val="00963EA9"/>
    <w:rsid w:val="00966A16"/>
    <w:rsid w:val="00966FA7"/>
    <w:rsid w:val="00967AA4"/>
    <w:rsid w:val="00971A85"/>
    <w:rsid w:val="0097300B"/>
    <w:rsid w:val="00983DD5"/>
    <w:rsid w:val="009850A6"/>
    <w:rsid w:val="00985942"/>
    <w:rsid w:val="009878AD"/>
    <w:rsid w:val="00995D8A"/>
    <w:rsid w:val="009A178B"/>
    <w:rsid w:val="009A190D"/>
    <w:rsid w:val="009A243E"/>
    <w:rsid w:val="009A254C"/>
    <w:rsid w:val="009A2D1E"/>
    <w:rsid w:val="009A30CB"/>
    <w:rsid w:val="009A6931"/>
    <w:rsid w:val="009B0A95"/>
    <w:rsid w:val="009B2069"/>
    <w:rsid w:val="009B23E9"/>
    <w:rsid w:val="009B2A05"/>
    <w:rsid w:val="009B5E79"/>
    <w:rsid w:val="009C6FCD"/>
    <w:rsid w:val="009D0D0D"/>
    <w:rsid w:val="009D2D9F"/>
    <w:rsid w:val="009D3E5C"/>
    <w:rsid w:val="009D4E59"/>
    <w:rsid w:val="009D6B29"/>
    <w:rsid w:val="009E0AA1"/>
    <w:rsid w:val="009E5095"/>
    <w:rsid w:val="009E5820"/>
    <w:rsid w:val="009E5A13"/>
    <w:rsid w:val="009E64E2"/>
    <w:rsid w:val="009E72D5"/>
    <w:rsid w:val="009E7B45"/>
    <w:rsid w:val="009F02DB"/>
    <w:rsid w:val="009F6A44"/>
    <w:rsid w:val="00A02985"/>
    <w:rsid w:val="00A05908"/>
    <w:rsid w:val="00A05C42"/>
    <w:rsid w:val="00A0671D"/>
    <w:rsid w:val="00A13529"/>
    <w:rsid w:val="00A1694E"/>
    <w:rsid w:val="00A17BA2"/>
    <w:rsid w:val="00A217B8"/>
    <w:rsid w:val="00A21824"/>
    <w:rsid w:val="00A21E9F"/>
    <w:rsid w:val="00A231AF"/>
    <w:rsid w:val="00A258C3"/>
    <w:rsid w:val="00A27389"/>
    <w:rsid w:val="00A27CE6"/>
    <w:rsid w:val="00A30AA3"/>
    <w:rsid w:val="00A318A9"/>
    <w:rsid w:val="00A355D2"/>
    <w:rsid w:val="00A36749"/>
    <w:rsid w:val="00A3762A"/>
    <w:rsid w:val="00A4139E"/>
    <w:rsid w:val="00A416F5"/>
    <w:rsid w:val="00A43298"/>
    <w:rsid w:val="00A51004"/>
    <w:rsid w:val="00A51B34"/>
    <w:rsid w:val="00A56DB0"/>
    <w:rsid w:val="00A5723F"/>
    <w:rsid w:val="00A572F5"/>
    <w:rsid w:val="00A60710"/>
    <w:rsid w:val="00A627E1"/>
    <w:rsid w:val="00A62B89"/>
    <w:rsid w:val="00A65BD3"/>
    <w:rsid w:val="00A67BE4"/>
    <w:rsid w:val="00A73F5F"/>
    <w:rsid w:val="00A76E4C"/>
    <w:rsid w:val="00A80647"/>
    <w:rsid w:val="00A856D5"/>
    <w:rsid w:val="00A871EF"/>
    <w:rsid w:val="00A95083"/>
    <w:rsid w:val="00A96E28"/>
    <w:rsid w:val="00AA2473"/>
    <w:rsid w:val="00AA271C"/>
    <w:rsid w:val="00AA3558"/>
    <w:rsid w:val="00AA5E8F"/>
    <w:rsid w:val="00AB17BD"/>
    <w:rsid w:val="00AB4301"/>
    <w:rsid w:val="00AB76E9"/>
    <w:rsid w:val="00AC0F2A"/>
    <w:rsid w:val="00AC19B7"/>
    <w:rsid w:val="00AC4F04"/>
    <w:rsid w:val="00AC66DD"/>
    <w:rsid w:val="00AD32CD"/>
    <w:rsid w:val="00AD4E66"/>
    <w:rsid w:val="00AD5BA5"/>
    <w:rsid w:val="00AD662B"/>
    <w:rsid w:val="00AE16FC"/>
    <w:rsid w:val="00AE30B8"/>
    <w:rsid w:val="00AE3DB6"/>
    <w:rsid w:val="00AE4FC5"/>
    <w:rsid w:val="00AE520A"/>
    <w:rsid w:val="00AF2192"/>
    <w:rsid w:val="00AF4EA7"/>
    <w:rsid w:val="00B01147"/>
    <w:rsid w:val="00B011FB"/>
    <w:rsid w:val="00B018B0"/>
    <w:rsid w:val="00B04441"/>
    <w:rsid w:val="00B05428"/>
    <w:rsid w:val="00B0755E"/>
    <w:rsid w:val="00B106FF"/>
    <w:rsid w:val="00B124CA"/>
    <w:rsid w:val="00B12872"/>
    <w:rsid w:val="00B13E3F"/>
    <w:rsid w:val="00B1489E"/>
    <w:rsid w:val="00B15D15"/>
    <w:rsid w:val="00B209EB"/>
    <w:rsid w:val="00B227B0"/>
    <w:rsid w:val="00B24BDC"/>
    <w:rsid w:val="00B316C9"/>
    <w:rsid w:val="00B31B87"/>
    <w:rsid w:val="00B324A2"/>
    <w:rsid w:val="00B35BFE"/>
    <w:rsid w:val="00B35FF1"/>
    <w:rsid w:val="00B40403"/>
    <w:rsid w:val="00B52D54"/>
    <w:rsid w:val="00B641D2"/>
    <w:rsid w:val="00B651FE"/>
    <w:rsid w:val="00B661A2"/>
    <w:rsid w:val="00B669E0"/>
    <w:rsid w:val="00B67D68"/>
    <w:rsid w:val="00B71119"/>
    <w:rsid w:val="00B72398"/>
    <w:rsid w:val="00B72EDB"/>
    <w:rsid w:val="00B76DF6"/>
    <w:rsid w:val="00B829F8"/>
    <w:rsid w:val="00B840BC"/>
    <w:rsid w:val="00B85277"/>
    <w:rsid w:val="00B9242E"/>
    <w:rsid w:val="00B92FF1"/>
    <w:rsid w:val="00B93C07"/>
    <w:rsid w:val="00B956ED"/>
    <w:rsid w:val="00BA17C0"/>
    <w:rsid w:val="00BA1C4F"/>
    <w:rsid w:val="00BA2BB5"/>
    <w:rsid w:val="00BA31A5"/>
    <w:rsid w:val="00BA4BC4"/>
    <w:rsid w:val="00BA502F"/>
    <w:rsid w:val="00BA747E"/>
    <w:rsid w:val="00BB6CE6"/>
    <w:rsid w:val="00BC17BB"/>
    <w:rsid w:val="00BC6932"/>
    <w:rsid w:val="00BC7506"/>
    <w:rsid w:val="00BD1387"/>
    <w:rsid w:val="00BD18BF"/>
    <w:rsid w:val="00BD27D1"/>
    <w:rsid w:val="00BD2D53"/>
    <w:rsid w:val="00BD7F8B"/>
    <w:rsid w:val="00BE2EA5"/>
    <w:rsid w:val="00BE3A67"/>
    <w:rsid w:val="00BE53AC"/>
    <w:rsid w:val="00BF0C1F"/>
    <w:rsid w:val="00BF4A16"/>
    <w:rsid w:val="00BF72CB"/>
    <w:rsid w:val="00BF7638"/>
    <w:rsid w:val="00C0066D"/>
    <w:rsid w:val="00C01344"/>
    <w:rsid w:val="00C01B3E"/>
    <w:rsid w:val="00C030F0"/>
    <w:rsid w:val="00C04737"/>
    <w:rsid w:val="00C05C67"/>
    <w:rsid w:val="00C06E55"/>
    <w:rsid w:val="00C12926"/>
    <w:rsid w:val="00C1301A"/>
    <w:rsid w:val="00C14034"/>
    <w:rsid w:val="00C14B78"/>
    <w:rsid w:val="00C26192"/>
    <w:rsid w:val="00C26874"/>
    <w:rsid w:val="00C311E1"/>
    <w:rsid w:val="00C315BA"/>
    <w:rsid w:val="00C317EE"/>
    <w:rsid w:val="00C3320B"/>
    <w:rsid w:val="00C34CB0"/>
    <w:rsid w:val="00C37A78"/>
    <w:rsid w:val="00C44201"/>
    <w:rsid w:val="00C45991"/>
    <w:rsid w:val="00C45EB2"/>
    <w:rsid w:val="00C472C6"/>
    <w:rsid w:val="00C47381"/>
    <w:rsid w:val="00C47E26"/>
    <w:rsid w:val="00C512E1"/>
    <w:rsid w:val="00C51969"/>
    <w:rsid w:val="00C534AE"/>
    <w:rsid w:val="00C54935"/>
    <w:rsid w:val="00C60E14"/>
    <w:rsid w:val="00C61CAC"/>
    <w:rsid w:val="00C67130"/>
    <w:rsid w:val="00C725E2"/>
    <w:rsid w:val="00C75294"/>
    <w:rsid w:val="00C810A4"/>
    <w:rsid w:val="00C82859"/>
    <w:rsid w:val="00C83A50"/>
    <w:rsid w:val="00C95F22"/>
    <w:rsid w:val="00CA0FA7"/>
    <w:rsid w:val="00CA1D95"/>
    <w:rsid w:val="00CA6B85"/>
    <w:rsid w:val="00CB51F5"/>
    <w:rsid w:val="00CB5AFD"/>
    <w:rsid w:val="00CC06EC"/>
    <w:rsid w:val="00CC11F5"/>
    <w:rsid w:val="00CC6D8E"/>
    <w:rsid w:val="00CC7D64"/>
    <w:rsid w:val="00CD38F9"/>
    <w:rsid w:val="00CD5E97"/>
    <w:rsid w:val="00CE1CCA"/>
    <w:rsid w:val="00CE1F64"/>
    <w:rsid w:val="00CE52B5"/>
    <w:rsid w:val="00CE66F2"/>
    <w:rsid w:val="00CE6D72"/>
    <w:rsid w:val="00CE7C6D"/>
    <w:rsid w:val="00D0118A"/>
    <w:rsid w:val="00D02B90"/>
    <w:rsid w:val="00D06C29"/>
    <w:rsid w:val="00D107DE"/>
    <w:rsid w:val="00D1286A"/>
    <w:rsid w:val="00D1341F"/>
    <w:rsid w:val="00D16D47"/>
    <w:rsid w:val="00D1750B"/>
    <w:rsid w:val="00D21376"/>
    <w:rsid w:val="00D24C88"/>
    <w:rsid w:val="00D25E9B"/>
    <w:rsid w:val="00D312CF"/>
    <w:rsid w:val="00D3266E"/>
    <w:rsid w:val="00D327C2"/>
    <w:rsid w:val="00D33604"/>
    <w:rsid w:val="00D339D3"/>
    <w:rsid w:val="00D343AE"/>
    <w:rsid w:val="00D4122A"/>
    <w:rsid w:val="00D46F62"/>
    <w:rsid w:val="00D478E0"/>
    <w:rsid w:val="00D47B1B"/>
    <w:rsid w:val="00D50BDB"/>
    <w:rsid w:val="00D53ACF"/>
    <w:rsid w:val="00D55414"/>
    <w:rsid w:val="00D55745"/>
    <w:rsid w:val="00D56870"/>
    <w:rsid w:val="00D6161A"/>
    <w:rsid w:val="00D6182F"/>
    <w:rsid w:val="00D62243"/>
    <w:rsid w:val="00D62792"/>
    <w:rsid w:val="00D62CCE"/>
    <w:rsid w:val="00D67580"/>
    <w:rsid w:val="00D70E22"/>
    <w:rsid w:val="00D74460"/>
    <w:rsid w:val="00D7456A"/>
    <w:rsid w:val="00D750F3"/>
    <w:rsid w:val="00D770CA"/>
    <w:rsid w:val="00D832EB"/>
    <w:rsid w:val="00D839A1"/>
    <w:rsid w:val="00D8440E"/>
    <w:rsid w:val="00D85056"/>
    <w:rsid w:val="00D85A9F"/>
    <w:rsid w:val="00D85D25"/>
    <w:rsid w:val="00D879B3"/>
    <w:rsid w:val="00D87E08"/>
    <w:rsid w:val="00D901CC"/>
    <w:rsid w:val="00D9217F"/>
    <w:rsid w:val="00D96EC1"/>
    <w:rsid w:val="00DA0477"/>
    <w:rsid w:val="00DA44FA"/>
    <w:rsid w:val="00DA4512"/>
    <w:rsid w:val="00DA5C69"/>
    <w:rsid w:val="00DB0A57"/>
    <w:rsid w:val="00DB20CD"/>
    <w:rsid w:val="00DB2AFC"/>
    <w:rsid w:val="00DB34AA"/>
    <w:rsid w:val="00DB4F0C"/>
    <w:rsid w:val="00DB5682"/>
    <w:rsid w:val="00DC3322"/>
    <w:rsid w:val="00DD0CDF"/>
    <w:rsid w:val="00DD1B93"/>
    <w:rsid w:val="00DD289B"/>
    <w:rsid w:val="00DD602D"/>
    <w:rsid w:val="00DE0603"/>
    <w:rsid w:val="00DE10E0"/>
    <w:rsid w:val="00DE6A29"/>
    <w:rsid w:val="00DE7AFD"/>
    <w:rsid w:val="00DF1DF4"/>
    <w:rsid w:val="00DF2E1F"/>
    <w:rsid w:val="00DF3A4F"/>
    <w:rsid w:val="00DF644D"/>
    <w:rsid w:val="00E03E4E"/>
    <w:rsid w:val="00E060C8"/>
    <w:rsid w:val="00E07CBD"/>
    <w:rsid w:val="00E10A22"/>
    <w:rsid w:val="00E123B3"/>
    <w:rsid w:val="00E132D9"/>
    <w:rsid w:val="00E13300"/>
    <w:rsid w:val="00E23BB1"/>
    <w:rsid w:val="00E3086F"/>
    <w:rsid w:val="00E3103B"/>
    <w:rsid w:val="00E32209"/>
    <w:rsid w:val="00E338EE"/>
    <w:rsid w:val="00E33C57"/>
    <w:rsid w:val="00E357AF"/>
    <w:rsid w:val="00E35EB8"/>
    <w:rsid w:val="00E36485"/>
    <w:rsid w:val="00E375B8"/>
    <w:rsid w:val="00E41BBE"/>
    <w:rsid w:val="00E43E40"/>
    <w:rsid w:val="00E44165"/>
    <w:rsid w:val="00E449C8"/>
    <w:rsid w:val="00E47BF7"/>
    <w:rsid w:val="00E500CD"/>
    <w:rsid w:val="00E51528"/>
    <w:rsid w:val="00E51BCE"/>
    <w:rsid w:val="00E55449"/>
    <w:rsid w:val="00E555EB"/>
    <w:rsid w:val="00E570D0"/>
    <w:rsid w:val="00E629D6"/>
    <w:rsid w:val="00E67F28"/>
    <w:rsid w:val="00E67FFC"/>
    <w:rsid w:val="00E74A4C"/>
    <w:rsid w:val="00E7600D"/>
    <w:rsid w:val="00E77C2D"/>
    <w:rsid w:val="00E81E94"/>
    <w:rsid w:val="00E857BC"/>
    <w:rsid w:val="00E8673D"/>
    <w:rsid w:val="00E903C2"/>
    <w:rsid w:val="00E93E66"/>
    <w:rsid w:val="00E95940"/>
    <w:rsid w:val="00EA06F0"/>
    <w:rsid w:val="00EA1CD1"/>
    <w:rsid w:val="00EA2717"/>
    <w:rsid w:val="00EA35D6"/>
    <w:rsid w:val="00EA5447"/>
    <w:rsid w:val="00EA5910"/>
    <w:rsid w:val="00EA654E"/>
    <w:rsid w:val="00EA7335"/>
    <w:rsid w:val="00EB1BA6"/>
    <w:rsid w:val="00EB1FFB"/>
    <w:rsid w:val="00EB272A"/>
    <w:rsid w:val="00EB2D83"/>
    <w:rsid w:val="00EB53DB"/>
    <w:rsid w:val="00EC2351"/>
    <w:rsid w:val="00EC3A58"/>
    <w:rsid w:val="00EC5AD4"/>
    <w:rsid w:val="00ED0450"/>
    <w:rsid w:val="00ED1AD3"/>
    <w:rsid w:val="00ED508C"/>
    <w:rsid w:val="00EE483A"/>
    <w:rsid w:val="00EE4CC9"/>
    <w:rsid w:val="00EF0266"/>
    <w:rsid w:val="00EF07C1"/>
    <w:rsid w:val="00EF1E06"/>
    <w:rsid w:val="00EF2E98"/>
    <w:rsid w:val="00EF3439"/>
    <w:rsid w:val="00EF6638"/>
    <w:rsid w:val="00EF728C"/>
    <w:rsid w:val="00F016B8"/>
    <w:rsid w:val="00F04E08"/>
    <w:rsid w:val="00F07287"/>
    <w:rsid w:val="00F07665"/>
    <w:rsid w:val="00F14878"/>
    <w:rsid w:val="00F227BC"/>
    <w:rsid w:val="00F230A6"/>
    <w:rsid w:val="00F231AE"/>
    <w:rsid w:val="00F23B0A"/>
    <w:rsid w:val="00F31176"/>
    <w:rsid w:val="00F33091"/>
    <w:rsid w:val="00F350BA"/>
    <w:rsid w:val="00F40C67"/>
    <w:rsid w:val="00F4114A"/>
    <w:rsid w:val="00F42584"/>
    <w:rsid w:val="00F43828"/>
    <w:rsid w:val="00F45DDD"/>
    <w:rsid w:val="00F45E6E"/>
    <w:rsid w:val="00F46660"/>
    <w:rsid w:val="00F530E5"/>
    <w:rsid w:val="00F5429D"/>
    <w:rsid w:val="00F67151"/>
    <w:rsid w:val="00F70AAC"/>
    <w:rsid w:val="00F725EF"/>
    <w:rsid w:val="00F72798"/>
    <w:rsid w:val="00F73DD9"/>
    <w:rsid w:val="00F7486F"/>
    <w:rsid w:val="00F76CFF"/>
    <w:rsid w:val="00F8147C"/>
    <w:rsid w:val="00F820A2"/>
    <w:rsid w:val="00F82440"/>
    <w:rsid w:val="00F8758C"/>
    <w:rsid w:val="00F90C11"/>
    <w:rsid w:val="00F90E4A"/>
    <w:rsid w:val="00F91B58"/>
    <w:rsid w:val="00F934AE"/>
    <w:rsid w:val="00F942FD"/>
    <w:rsid w:val="00F955E8"/>
    <w:rsid w:val="00FA05E3"/>
    <w:rsid w:val="00FA187E"/>
    <w:rsid w:val="00FA64FF"/>
    <w:rsid w:val="00FA682C"/>
    <w:rsid w:val="00FA7809"/>
    <w:rsid w:val="00FB123B"/>
    <w:rsid w:val="00FB62B2"/>
    <w:rsid w:val="00FB783F"/>
    <w:rsid w:val="00FC2644"/>
    <w:rsid w:val="00FC42DF"/>
    <w:rsid w:val="00FC7AF8"/>
    <w:rsid w:val="00FD1D4D"/>
    <w:rsid w:val="00FD26CC"/>
    <w:rsid w:val="00FD434C"/>
    <w:rsid w:val="00FD434E"/>
    <w:rsid w:val="00FD6B85"/>
    <w:rsid w:val="00FD6F09"/>
    <w:rsid w:val="00FE39C2"/>
    <w:rsid w:val="00FE67F9"/>
    <w:rsid w:val="00FE7007"/>
    <w:rsid w:val="07FFE069"/>
    <w:rsid w:val="1CDF09FC"/>
    <w:rsid w:val="1DD334DA"/>
    <w:rsid w:val="1F57D23F"/>
    <w:rsid w:val="1FF1E732"/>
    <w:rsid w:val="27FA1C4D"/>
    <w:rsid w:val="2DFBA17B"/>
    <w:rsid w:val="2FBE56C9"/>
    <w:rsid w:val="2FFEA802"/>
    <w:rsid w:val="306F66DD"/>
    <w:rsid w:val="32FAB111"/>
    <w:rsid w:val="35DB91C9"/>
    <w:rsid w:val="399F4EE6"/>
    <w:rsid w:val="3AEB62B2"/>
    <w:rsid w:val="3B63E0D2"/>
    <w:rsid w:val="3F7ADB6C"/>
    <w:rsid w:val="3F7B133E"/>
    <w:rsid w:val="3FEF8081"/>
    <w:rsid w:val="4AF785DB"/>
    <w:rsid w:val="4DEA1548"/>
    <w:rsid w:val="50FD8A06"/>
    <w:rsid w:val="57ED2938"/>
    <w:rsid w:val="57F4A661"/>
    <w:rsid w:val="57F747BB"/>
    <w:rsid w:val="5BABAD35"/>
    <w:rsid w:val="5C2FE74E"/>
    <w:rsid w:val="5C9E6EC3"/>
    <w:rsid w:val="5F79E6B6"/>
    <w:rsid w:val="5FFBEBB5"/>
    <w:rsid w:val="657F8B56"/>
    <w:rsid w:val="6FBD27AE"/>
    <w:rsid w:val="6FFDDDE2"/>
    <w:rsid w:val="73FFE8E5"/>
    <w:rsid w:val="75EF283E"/>
    <w:rsid w:val="77F13B4D"/>
    <w:rsid w:val="77FE7F06"/>
    <w:rsid w:val="77FF6566"/>
    <w:rsid w:val="78FECF89"/>
    <w:rsid w:val="7A2F7574"/>
    <w:rsid w:val="7BAFEF77"/>
    <w:rsid w:val="7BBD17B7"/>
    <w:rsid w:val="7BF147F3"/>
    <w:rsid w:val="7BF5E9A9"/>
    <w:rsid w:val="7D274883"/>
    <w:rsid w:val="7DFF10FE"/>
    <w:rsid w:val="7E715F89"/>
    <w:rsid w:val="7EBF1AD7"/>
    <w:rsid w:val="7EF73FDF"/>
    <w:rsid w:val="7EFD2827"/>
    <w:rsid w:val="7F1B96AC"/>
    <w:rsid w:val="7F37925C"/>
    <w:rsid w:val="7F7F29A3"/>
    <w:rsid w:val="7FAE0B75"/>
    <w:rsid w:val="7FB05B7A"/>
    <w:rsid w:val="7FD78BFB"/>
    <w:rsid w:val="7FF30DB1"/>
    <w:rsid w:val="7FFAAFA0"/>
    <w:rsid w:val="7FFF05C9"/>
    <w:rsid w:val="97FBECC4"/>
    <w:rsid w:val="A9BF22F5"/>
    <w:rsid w:val="ADBF23D9"/>
    <w:rsid w:val="AFEF3FF4"/>
    <w:rsid w:val="B77BEFB4"/>
    <w:rsid w:val="B8AD34F1"/>
    <w:rsid w:val="BBABB6DF"/>
    <w:rsid w:val="BBC2DE8A"/>
    <w:rsid w:val="BDFC1BBB"/>
    <w:rsid w:val="BEA6B7E5"/>
    <w:rsid w:val="BFAFF763"/>
    <w:rsid w:val="BFD76FDD"/>
    <w:rsid w:val="BFE71027"/>
    <w:rsid w:val="C5EB8CFF"/>
    <w:rsid w:val="C6B75A2B"/>
    <w:rsid w:val="CC7C7A27"/>
    <w:rsid w:val="CD1F29F1"/>
    <w:rsid w:val="CE3CFF7C"/>
    <w:rsid w:val="CFF2A3D2"/>
    <w:rsid w:val="D577BD6D"/>
    <w:rsid w:val="DC4F271B"/>
    <w:rsid w:val="DD9F239B"/>
    <w:rsid w:val="DEDF9BDB"/>
    <w:rsid w:val="E7F9D7FB"/>
    <w:rsid w:val="E97FA817"/>
    <w:rsid w:val="ED6EF3F0"/>
    <w:rsid w:val="EDE914F1"/>
    <w:rsid w:val="EEFBB351"/>
    <w:rsid w:val="F3D68EA9"/>
    <w:rsid w:val="F57FBF94"/>
    <w:rsid w:val="F62F4548"/>
    <w:rsid w:val="F6FF413C"/>
    <w:rsid w:val="F7F7BDB8"/>
    <w:rsid w:val="FA3FF3A5"/>
    <w:rsid w:val="FAFFF9F5"/>
    <w:rsid w:val="FBEF5DC0"/>
    <w:rsid w:val="FCFEBF66"/>
    <w:rsid w:val="FE6EBF18"/>
    <w:rsid w:val="FEF7152E"/>
    <w:rsid w:val="FF21C0EC"/>
    <w:rsid w:val="FF761B93"/>
    <w:rsid w:val="FFB72870"/>
    <w:rsid w:val="FFBF1E35"/>
    <w:rsid w:val="FFD6FEB1"/>
    <w:rsid w:val="FFF6ADE4"/>
    <w:rsid w:val="FFF78B6D"/>
    <w:rsid w:val="FFFD4CC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页眉 Char"/>
    <w:basedOn w:val="6"/>
    <w:link w:val="4"/>
    <w:qFormat/>
    <w:uiPriority w:val="0"/>
    <w:rPr>
      <w:rFonts w:eastAsia="仿宋_GB2312"/>
      <w:kern w:val="2"/>
      <w:sz w:val="18"/>
      <w:szCs w:val="18"/>
    </w:rPr>
  </w:style>
  <w:style w:type="paragraph" w:customStyle="1" w:styleId="9">
    <w:name w:val="Char"/>
    <w:basedOn w:val="1"/>
    <w:qFormat/>
    <w:uiPriority w:val="0"/>
    <w:rPr>
      <w:rFonts w:ascii="宋体" w:hAnsi="宋体" w:eastAsia="宋体" w:cs="Courier New"/>
      <w:sz w:val="32"/>
      <w:szCs w:val="32"/>
    </w:rPr>
  </w:style>
  <w:style w:type="paragraph" w:customStyle="1" w:styleId="10">
    <w:name w:val="修订1"/>
    <w:hidden/>
    <w:semiHidden/>
    <w:qFormat/>
    <w:uiPriority w:val="99"/>
    <w:rPr>
      <w:rFonts w:ascii="Times New Roman" w:hAnsi="Times New Roman" w:eastAsia="仿宋_GB2312" w:cs="Times New Roman"/>
      <w:kern w:val="2"/>
      <w:sz w:val="30"/>
      <w:szCs w:val="24"/>
      <w:lang w:val="en-US" w:eastAsia="zh-CN" w:bidi="ar-SA"/>
    </w:rPr>
  </w:style>
  <w:style w:type="character" w:customStyle="1" w:styleId="11">
    <w:name w:val="页脚 Char"/>
    <w:basedOn w:val="6"/>
    <w:link w:val="3"/>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886</Words>
  <Characters>5055</Characters>
  <Lines>42</Lines>
  <Paragraphs>11</Paragraphs>
  <TotalTime>67</TotalTime>
  <ScaleCrop>false</ScaleCrop>
  <LinksUpToDate>false</LinksUpToDate>
  <CharactersWithSpaces>5930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2018-02-20T23:25:00Z</dcterms:created>
  <dc:creator>think</dc:creator>
  <cp:lastModifiedBy>fengxue</cp:lastModifiedBy>
  <cp:lastPrinted>2022-12-29T07:36:00Z</cp:lastPrinted>
  <dcterms:modified xsi:type="dcterms:W3CDTF">2022-12-30T15:00:04Z</dcterms:modified>
  <dc:title>一、</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